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692572"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153D4A1" w:rsidR="00093CA9" w:rsidRPr="00D00989" w:rsidRDefault="00960D32" w:rsidP="00093CA9">
            <w:pPr>
              <w:rPr>
                <w:lang w:val="it-IT"/>
              </w:rPr>
            </w:pPr>
            <w:r w:rsidRPr="00960D32">
              <w:rPr>
                <w:lang w:val="it-IT"/>
              </w:rPr>
              <w:t xml:space="preserve">Cappelli Riolo Calderaro Crisostomo Del Din &amp; Partners </w:t>
            </w:r>
            <w:r w:rsidR="006B15ED">
              <w:rPr>
                <w:lang w:val="it-IT"/>
              </w:rPr>
              <w:t xml:space="preserve">Studio Legale </w:t>
            </w:r>
            <w:r w:rsidRPr="00960D32">
              <w:rPr>
                <w:lang w:val="it-IT"/>
              </w:rPr>
              <w:t>(CRCCD)</w:t>
            </w:r>
            <w:r w:rsidRPr="00D00989">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92572"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BD2A2B3" w:rsidR="00093CA9" w:rsidRPr="00D00989" w:rsidRDefault="004C6D9F" w:rsidP="002C22F1">
            <w:pPr>
              <w:spacing w:before="0" w:after="0"/>
              <w:rPr>
                <w:rFonts w:cstheme="minorHAnsi"/>
                <w:color w:val="333333"/>
                <w:lang w:val="it-IT"/>
              </w:rPr>
            </w:pPr>
            <w:r w:rsidRPr="00D00989">
              <w:rPr>
                <w:rFonts w:cstheme="minorHAnsi"/>
                <w:color w:val="333333"/>
                <w:lang w:val="it-IT"/>
              </w:rPr>
              <w:t>ARERA Resolution (“</w:t>
            </w:r>
            <w:r w:rsidRPr="00A605FA">
              <w:rPr>
                <w:rFonts w:cstheme="minorHAnsi"/>
                <w:i/>
                <w:iCs/>
                <w:color w:val="333333"/>
                <w:lang w:val="it-IT"/>
              </w:rPr>
              <w:t xml:space="preserve">Deliberazione dell’Autorità di </w:t>
            </w:r>
            <w:r w:rsidR="00A605FA" w:rsidRPr="00A605FA">
              <w:rPr>
                <w:rFonts w:cstheme="minorHAnsi"/>
                <w:i/>
                <w:iCs/>
                <w:color w:val="333333"/>
                <w:lang w:val="it-IT"/>
              </w:rPr>
              <w:t>r</w:t>
            </w:r>
            <w:r w:rsidRPr="00A605FA">
              <w:rPr>
                <w:rFonts w:cstheme="minorHAnsi"/>
                <w:i/>
                <w:iCs/>
                <w:color w:val="333333"/>
                <w:lang w:val="it-IT"/>
              </w:rPr>
              <w:t xml:space="preserve">egolazione per </w:t>
            </w:r>
            <w:r w:rsidR="00A605FA" w:rsidRPr="00A605FA">
              <w:rPr>
                <w:rFonts w:cstheme="minorHAnsi"/>
                <w:i/>
                <w:iCs/>
                <w:color w:val="333333"/>
                <w:lang w:val="it-IT"/>
              </w:rPr>
              <w:t>e</w:t>
            </w:r>
            <w:r w:rsidRPr="00A605FA">
              <w:rPr>
                <w:rFonts w:cstheme="minorHAnsi"/>
                <w:i/>
                <w:iCs/>
                <w:color w:val="333333"/>
                <w:lang w:val="it-IT"/>
              </w:rPr>
              <w:t xml:space="preserve">nergia </w:t>
            </w:r>
            <w:r w:rsidR="00A605FA" w:rsidRPr="00A605FA">
              <w:rPr>
                <w:rFonts w:cstheme="minorHAnsi"/>
                <w:i/>
                <w:iCs/>
                <w:color w:val="333333"/>
                <w:lang w:val="it-IT"/>
              </w:rPr>
              <w:t>r</w:t>
            </w:r>
            <w:r w:rsidRPr="00A605FA">
              <w:rPr>
                <w:rFonts w:cstheme="minorHAnsi"/>
                <w:i/>
                <w:iCs/>
                <w:color w:val="333333"/>
                <w:lang w:val="it-IT"/>
              </w:rPr>
              <w:t xml:space="preserve">eti e </w:t>
            </w:r>
            <w:r w:rsidR="00A605FA" w:rsidRPr="00A605FA">
              <w:rPr>
                <w:rFonts w:cstheme="minorHAnsi"/>
                <w:i/>
                <w:iCs/>
                <w:color w:val="333333"/>
                <w:lang w:val="it-IT"/>
              </w:rPr>
              <w:t>a</w:t>
            </w:r>
            <w:r w:rsidRPr="00A605FA">
              <w:rPr>
                <w:rFonts w:cstheme="minorHAnsi"/>
                <w:i/>
                <w:iCs/>
                <w:color w:val="333333"/>
                <w:lang w:val="it-IT"/>
              </w:rPr>
              <w:t>mbiente</w:t>
            </w:r>
            <w:r w:rsidRPr="00D00989">
              <w:rPr>
                <w:rFonts w:cstheme="minorHAnsi"/>
                <w:color w:val="333333"/>
                <w:lang w:val="it-IT"/>
              </w:rPr>
              <w:t xml:space="preserve">”) </w:t>
            </w:r>
            <w:r w:rsidR="00AF56AF">
              <w:rPr>
                <w:rFonts w:cstheme="minorHAnsi"/>
                <w:color w:val="333333"/>
                <w:lang w:val="it-IT"/>
              </w:rPr>
              <w:t>No.</w:t>
            </w:r>
            <w:r w:rsidRPr="00D00989">
              <w:rPr>
                <w:rFonts w:cstheme="minorHAnsi"/>
                <w:color w:val="333333"/>
                <w:lang w:val="it-IT"/>
              </w:rPr>
              <w:t xml:space="preserve"> 569/2019/R/GAS of 27 December 2019</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2D12D7B" w:rsidR="00093CA9" w:rsidRDefault="00D06D1E"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BE7B604" w14:textId="5B36B7F5" w:rsidR="00D00989" w:rsidRDefault="00D00989" w:rsidP="00D00989">
            <w:r>
              <w:t xml:space="preserve">ARERA Resolution </w:t>
            </w:r>
            <w:r w:rsidR="00AF56AF">
              <w:t>No.</w:t>
            </w:r>
            <w:r>
              <w:t xml:space="preserve"> 569/2019/R/GAS </w:t>
            </w:r>
            <w:r w:rsidR="00A20130">
              <w:t>(the “</w:t>
            </w:r>
            <w:r w:rsidR="00A20130" w:rsidRPr="00A20130">
              <w:rPr>
                <w:b/>
                <w:bCs/>
              </w:rPr>
              <w:t>Resolution</w:t>
            </w:r>
            <w:r w:rsidR="00A20130">
              <w:t xml:space="preserve">”) </w:t>
            </w:r>
            <w:r>
              <w:t xml:space="preserve">establishes the regulatory framework for the quality of gas distribution and metering services in Italy for the 2020-2025 period. Its primary goal is to enhance network safety, reliability, and efficiency while strengthening consumer protection and fostering innovation. </w:t>
            </w:r>
          </w:p>
          <w:p w14:paraId="34B2C6CE" w14:textId="502FCAA0" w:rsidR="00A20130" w:rsidRPr="00A20130" w:rsidRDefault="00D00989" w:rsidP="00A20130">
            <w:r>
              <w:t xml:space="preserve">The Resolution is highly relevant to reducing fugitive gas emissions through several key provisions in </w:t>
            </w:r>
            <w:r w:rsidR="00A20130" w:rsidRPr="00A20130">
              <w:t xml:space="preserve">the annexed regulatory text </w:t>
            </w:r>
            <w:r w:rsidR="00A20130">
              <w:t>“</w:t>
            </w:r>
            <w:r w:rsidR="00A20130" w:rsidRPr="00D00989">
              <w:rPr>
                <w:i/>
                <w:iCs/>
              </w:rPr>
              <w:t>Regulation of the Quality of Gas Distribution and measurement services for the regulation period 2020-2025</w:t>
            </w:r>
            <w:r w:rsidR="00A20130">
              <w:rPr>
                <w:i/>
                <w:iCs/>
              </w:rPr>
              <w:t>”</w:t>
            </w:r>
            <w:r w:rsidR="00A20130" w:rsidRPr="00A20130">
              <w:t xml:space="preserve"> ("</w:t>
            </w:r>
            <w:r w:rsidR="00A20130" w:rsidRPr="00A20130">
              <w:rPr>
                <w:b/>
                <w:bCs/>
              </w:rPr>
              <w:t>RQDG 2020-2025</w:t>
            </w:r>
            <w:r w:rsidR="00A20130" w:rsidRPr="00A20130">
              <w:t>"</w:t>
            </w:r>
            <w:r w:rsidR="00DA47ED">
              <w:t xml:space="preserve"> or “</w:t>
            </w:r>
            <w:r w:rsidR="00DA47ED" w:rsidRPr="00DA47ED">
              <w:rPr>
                <w:b/>
                <w:bCs/>
              </w:rPr>
              <w:t>Annex A</w:t>
            </w:r>
            <w:r w:rsidR="00DA47ED">
              <w:t>”</w:t>
            </w:r>
            <w:r w:rsidR="00A20130" w:rsidRPr="00A20130">
              <w:t>):</w:t>
            </w:r>
          </w:p>
          <w:p w14:paraId="6E53B63C" w14:textId="77777777" w:rsidR="00D00989" w:rsidRDefault="00D00989" w:rsidP="00D00989">
            <w:pPr>
              <w:pStyle w:val="Paragrafoelenco"/>
              <w:numPr>
                <w:ilvl w:val="0"/>
                <w:numId w:val="49"/>
              </w:numPr>
            </w:pPr>
            <w:r>
              <w:t>Mandatory Infrastructure Upgrades: It imposes a binding obligation on operators to replace or remediate all pipelines made of high-risk materials (like old cast iron and PVC) by the end of 2025, with intermediate deadlines for 2022 and 2024. This measure directly targets and eliminates primary sources of gas leaks.</w:t>
            </w:r>
          </w:p>
          <w:p w14:paraId="04A49860" w14:textId="77777777" w:rsidR="00D00989" w:rsidRDefault="00D00989" w:rsidP="00D00989">
            <w:pPr>
              <w:pStyle w:val="Paragrafoelenco"/>
              <w:numPr>
                <w:ilvl w:val="0"/>
                <w:numId w:val="49"/>
              </w:numPr>
            </w:pPr>
            <w:r>
              <w:t>Economic Incentives: A system of premiums and penalties is established to financially incentivize operators to reduce gas leaks. Performance is measured by the number of leaks reported, creating a direct economic driver for network maintenance and emission reduction.</w:t>
            </w:r>
          </w:p>
          <w:p w14:paraId="18257824" w14:textId="5347CD87" w:rsidR="00093CA9" w:rsidRDefault="00D00989" w:rsidP="00D00989">
            <w:pPr>
              <w:pStyle w:val="Paragrafoelenco"/>
              <w:numPr>
                <w:ilvl w:val="0"/>
                <w:numId w:val="49"/>
              </w:numPr>
            </w:pPr>
            <w:r>
              <w:t>Strict Operational Duties: The framework mandates stringent operational obligations, including systematic network inspections to proactively detect leaks and a requirement to promptly repair any identified dispersions within timelines set by technical standards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3E0E01B" w:rsidR="00093CA9" w:rsidRDefault="00A5613E"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D364CF8" w:rsidR="00093CA9" w:rsidRPr="00173D7C" w:rsidRDefault="00A86E73" w:rsidP="00093CA9">
            <w:pPr>
              <w:rPr>
                <w:color w:val="000000" w:themeColor="text1"/>
              </w:rPr>
            </w:pPr>
            <w:r>
              <w:rPr>
                <w:color w:val="000000" w:themeColor="text1"/>
              </w:rPr>
              <w:t>2019</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810265A" w:rsidR="00093CA9" w:rsidRPr="00173D7C" w:rsidRDefault="00A86E73" w:rsidP="00093CA9">
            <w:pPr>
              <w:rPr>
                <w:color w:val="000000" w:themeColor="text1"/>
              </w:rPr>
            </w:pPr>
            <w:r>
              <w:rPr>
                <w:color w:val="000000" w:themeColor="text1"/>
              </w:rPr>
              <w:t>2020</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E11DEFE" w:rsidR="00093CA9" w:rsidRPr="007419BF" w:rsidRDefault="00A86E73" w:rsidP="00093CA9">
            <w:pPr>
              <w:rPr>
                <w:color w:val="000000" w:themeColor="text1"/>
              </w:rPr>
            </w:pPr>
            <w:r>
              <w:rPr>
                <w:color w:val="000000" w:themeColor="text1"/>
              </w:rPr>
              <w:t>31 December 2025</w:t>
            </w: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52F73ED" w14:textId="64DE40C9" w:rsidR="00A86E73" w:rsidRPr="00A86E73" w:rsidRDefault="00A86E73" w:rsidP="00A86E73">
            <w:r w:rsidRPr="00A86E73">
              <w:t xml:space="preserve">ARERA is </w:t>
            </w:r>
            <w:r>
              <w:t xml:space="preserve">a </w:t>
            </w:r>
            <w:r w:rsidRPr="00A86E73">
              <w:t>statutory regulatory bod</w:t>
            </w:r>
            <w:r>
              <w:t xml:space="preserve">y </w:t>
            </w:r>
            <w:r w:rsidRPr="00A86E73">
              <w:t xml:space="preserve">established pursuant to a specific Italian law, namely Law </w:t>
            </w:r>
            <w:r w:rsidR="00AF56AF">
              <w:t>No.</w:t>
            </w:r>
            <w:r w:rsidRPr="00A86E73">
              <w:t xml:space="preserve"> 481 of 14 November 1995. Its existence and powers derive directly from primary legislation enacted by the Italian Parliament.</w:t>
            </w:r>
          </w:p>
          <w:p w14:paraId="7961F236" w14:textId="110C49EA" w:rsidR="00093CA9" w:rsidRDefault="00A86E73" w:rsidP="001E1158">
            <w:r w:rsidRPr="00A86E73">
              <w:t>ARERA has quasi-legislative powers</w:t>
            </w:r>
            <w:r>
              <w:t>: its</w:t>
            </w:r>
            <w:r w:rsidRPr="00A86E73">
              <w:t xml:space="preserve"> function is to regulate the energy and environmental sectors</w:t>
            </w:r>
            <w:r>
              <w:t xml:space="preserve"> and it </w:t>
            </w:r>
            <w:r w:rsidRPr="00A86E73">
              <w:t>exercises this function by issuing binding regulatory instruments</w:t>
            </w:r>
            <w:r>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B8FD53" w:rsidR="00093CA9" w:rsidRPr="006B7B0D" w:rsidRDefault="00A20130" w:rsidP="00A20130">
            <w:r>
              <w:t>T</w:t>
            </w:r>
            <w:r w:rsidRPr="00A20130">
              <w:t xml:space="preserve">he authority responsible for overseeing the implementation and enforcement of Resolution </w:t>
            </w:r>
            <w:r w:rsidR="00AF56AF">
              <w:t>No.</w:t>
            </w:r>
            <w:r w:rsidRPr="00A20130">
              <w:t xml:space="preserve"> 569/2019/R/gas is the issuing body itself: the</w:t>
            </w:r>
            <w:r w:rsidR="006965B3">
              <w:t xml:space="preserve"> </w:t>
            </w:r>
            <w:r w:rsidRPr="00A20130">
              <w:t>Italian Regulatory Authority for Energy, Networks and Environment (ARERA).</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F6B3FA0"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0749039" w:rsidR="00093CA9" w:rsidRPr="006B7B0D" w:rsidRDefault="005D0F2E"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7CACC139" w14:textId="596DB39C" w:rsidR="00A20130" w:rsidRPr="00A20130" w:rsidRDefault="00A20130" w:rsidP="00A20130">
            <w:r w:rsidRPr="00A20130">
              <w:t>The regulatory framework establishes a system of self-enforcement, whereby ARERA retains ultimate authority over the application of the Resolution's provisions.</w:t>
            </w:r>
          </w:p>
          <w:p w14:paraId="42D06D03" w14:textId="3103EECF" w:rsidR="00093CA9" w:rsidRDefault="00A20130" w:rsidP="00093CA9">
            <w:r w:rsidRPr="00A20130">
              <w:t xml:space="preserve">While the </w:t>
            </w:r>
            <w:r>
              <w:t>Resolution</w:t>
            </w:r>
            <w:r w:rsidRPr="00A20130">
              <w:t xml:space="preserve"> also mention</w:t>
            </w:r>
            <w:r>
              <w:t>s</w:t>
            </w:r>
            <w:r w:rsidRPr="00A20130">
              <w:t xml:space="preserve"> other entities, such as the </w:t>
            </w:r>
            <w:r w:rsidRPr="00A20130">
              <w:rPr>
                <w:i/>
                <w:iCs/>
              </w:rPr>
              <w:t>Comitato Italiano Gas</w:t>
            </w:r>
            <w:r w:rsidRPr="00A20130">
              <w:t> (CIG) and the </w:t>
            </w:r>
            <w:r w:rsidRPr="00A20130">
              <w:rPr>
                <w:i/>
                <w:iCs/>
              </w:rPr>
              <w:t>Cassa per i servizi energetici e ambientali</w:t>
            </w:r>
            <w:r w:rsidRPr="00A20130">
              <w:t> (Cassa), their roles are subordinate and instrumental to ARERA's oversight. The CIG acts as a technical body tasked with specific mandates by ARERA, such as preparing guidelines, and the Cassa functions as a financial instrument for the administration of penalties and incentives at ARERA's direction. Neither entity is positioned as an independent overseer of the Resolution's enforcement.</w:t>
            </w: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092097D" w:rsidR="00093CA9" w:rsidRDefault="00A5613E"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090494D" w14:textId="3AB3533B" w:rsidR="00A5613E" w:rsidRPr="00A20130" w:rsidRDefault="00A5613E" w:rsidP="00A5613E">
            <w:r w:rsidRPr="00A20130">
              <w:t>ARERA is explicitly vested with the power to verify the data submitted by distribution companies. Section IV of the RQDG 2020-2025</w:t>
            </w:r>
            <w:r>
              <w:t xml:space="preserve"> </w:t>
            </w:r>
            <w:r w:rsidRPr="00A20130">
              <w:t>is dedicated entirely to the "Verification of Quality Data" and stipulates that "The Authority reserves the right to carry out controls" to ascertain the truthfulness of all reported information</w:t>
            </w:r>
            <w:r>
              <w:t xml:space="preserve">. </w:t>
            </w:r>
            <w:r w:rsidRPr="00A20130">
              <w:t>The resolution details the procedures for these inspections, which ARERA initiates and conducts. Furthermore, ARERA is identified as the entity that performs quality control checks, for example, on gas odorization.</w:t>
            </w:r>
          </w:p>
          <w:p w14:paraId="1A5902D0" w14:textId="408C4885" w:rsidR="00A5613E" w:rsidRPr="00A20130" w:rsidRDefault="00A5613E" w:rsidP="00A5613E">
            <w:r>
              <w:t>Furthermore, i</w:t>
            </w:r>
            <w:r w:rsidRPr="00A20130">
              <w:t>n the event that inspections reveal non-compliance, ARERA has the direct authority to levy penalties on the distribution companies. The framework establishes a detailed methodology for calculating such penalties based on the findings of ARERA's controls, reinforcing its role as the primary enforcer.</w:t>
            </w:r>
          </w:p>
          <w:p w14:paraId="2C2128DB" w14:textId="0DA165C6" w:rsidR="00093CA9" w:rsidRPr="008017F9" w:rsidRDefault="00A5613E" w:rsidP="00DB7472">
            <w:pPr>
              <w:rPr>
                <w:color w:val="000000" w:themeColor="text1"/>
              </w:rPr>
            </w:pPr>
            <w:r w:rsidRPr="00A5613E">
              <w:t xml:space="preserve">In the end, the </w:t>
            </w:r>
            <w:r w:rsidRPr="00A20130">
              <w:t>distribution companies are under a direct and recurring obligation to communicate technical, safety, and quality data to ARERA. This continuous flow of information enables the Authority's ongoing monitoring and oversight functions.</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1CAF0BB4"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260AA72"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ED27D5">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9A62A16" w:rsidR="002F0752" w:rsidRPr="00CF2E7C" w:rsidRDefault="0085463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4068841"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17797C7"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6A96D3A" w:rsidR="002F0752" w:rsidRPr="00CF2E7C" w:rsidRDefault="0085463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CD01EBE" w:rsidR="002F0752" w:rsidRPr="00CF2E7C" w:rsidRDefault="0085463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381C3D" w:rsidR="002F0752" w:rsidRPr="00CF2E7C" w:rsidRDefault="0085463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EA0395C" w:rsidR="002F0752" w:rsidRPr="00CF2E7C" w:rsidRDefault="0085463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3C55929" w:rsidR="002F0752" w:rsidRPr="00CF2E7C" w:rsidRDefault="0085463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4FA5275" w:rsidR="002F0752" w:rsidRPr="00CF2E7C" w:rsidRDefault="0085463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85F5791"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A8EC44E" w:rsidR="002F0752" w:rsidRPr="00CF2E7C" w:rsidRDefault="00854635"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20DE5BE" w:rsidR="002F0752" w:rsidRPr="00CF2E7C" w:rsidRDefault="00854635"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A3351BC" w:rsidR="002F0752" w:rsidRPr="00CF2E7C" w:rsidRDefault="0085463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5B1A188"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DD37D7A" w:rsidR="002F0752" w:rsidRPr="00CF2E7C" w:rsidRDefault="00854635"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5819C8B" w:rsidR="002F0752" w:rsidRPr="00CF2E7C" w:rsidRDefault="00854635"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23A472A" w:rsidR="002F0752" w:rsidRPr="00CF2E7C" w:rsidRDefault="00854635"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C5E6AD2"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40C90F58" w:rsidR="002F0752" w:rsidRPr="00CF2E7C" w:rsidRDefault="00854635"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D3501E9" w:rsidR="002F0752" w:rsidRPr="00CF2E7C" w:rsidRDefault="00854635"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59718CC" w:rsidR="002F0752" w:rsidRPr="00CF2E7C" w:rsidRDefault="0085463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09EF2B9" w:rsidR="002F0752" w:rsidRPr="00CF2E7C" w:rsidRDefault="00854635"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CD267EB" w:rsidR="002F0752" w:rsidRPr="00CF2E7C" w:rsidRDefault="0085463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60A0714" w:rsidR="002F0752" w:rsidRPr="00CF2E7C" w:rsidRDefault="0085463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EE96B80" w:rsidR="002F0752" w:rsidRPr="00CF2E7C" w:rsidRDefault="00854635"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BCDF222" w:rsidR="002F0752" w:rsidRPr="00CF2E7C" w:rsidRDefault="0085463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6CEB3BA" w:rsidR="002F0752" w:rsidRPr="00CF2E7C" w:rsidRDefault="0085463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2D1DB4E" w:rsidR="002F0752" w:rsidRPr="00CF2E7C" w:rsidRDefault="0085463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D73F89" w:rsidR="002F0752" w:rsidRPr="00CF2E7C" w:rsidRDefault="0085463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7AD62E2" w:rsidR="002F0752" w:rsidRPr="00CF2E7C" w:rsidRDefault="0085463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1B7322B" w:rsidR="002F0752" w:rsidRPr="00CF2E7C" w:rsidRDefault="0085463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465E4077" w:rsidR="002F0752" w:rsidRPr="00CF2E7C" w:rsidRDefault="00407AF9" w:rsidP="00CF2E7C">
            <w:pPr>
              <w:rPr>
                <w:rFonts w:ascii="Calibri" w:hAnsi="Calibri" w:cs="Calibri"/>
              </w:rPr>
            </w:pPr>
            <w:r>
              <w:rPr>
                <w:rFonts w:ascii="Calibri" w:hAnsi="Calibri" w:cs="Calibri"/>
              </w:rPr>
              <w:t>N.A.</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5AF59EAD" w:rsidR="002F0752" w:rsidRPr="00CF2E7C" w:rsidRDefault="00407AF9" w:rsidP="00CF2E7C">
            <w:pPr>
              <w:rPr>
                <w:rFonts w:ascii="Calibri" w:hAnsi="Calibri" w:cs="Calibri"/>
              </w:rPr>
            </w:pPr>
            <w:r>
              <w:rPr>
                <w:rFonts w:ascii="Calibri" w:hAnsi="Calibri" w:cs="Calibri"/>
              </w:rPr>
              <w:t>N.A.</w:t>
            </w: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4BEB5FE3" w:rsidR="002F0752" w:rsidRPr="00CF2E7C" w:rsidRDefault="00407AF9" w:rsidP="00CF2E7C">
            <w:pPr>
              <w:rPr>
                <w:rFonts w:ascii="Calibri" w:hAnsi="Calibri" w:cs="Calibri"/>
                <w:lang w:val="sv-SE"/>
              </w:rPr>
            </w:pPr>
            <w:r>
              <w:rPr>
                <w:rFonts w:ascii="Calibri" w:hAnsi="Calibri" w:cs="Calibri"/>
                <w:lang w:val="sv-SE"/>
              </w:rPr>
              <w:t>N.A.</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52D90112" w:rsidR="002F0752" w:rsidRPr="00CF2E7C" w:rsidRDefault="00407AF9" w:rsidP="00CF2E7C">
            <w:pPr>
              <w:rPr>
                <w:rFonts w:ascii="Calibri" w:hAnsi="Calibri" w:cs="Calibri"/>
              </w:rPr>
            </w:pPr>
            <w:r>
              <w:rPr>
                <w:rFonts w:ascii="Calibri" w:hAnsi="Calibri" w:cs="Calibri"/>
              </w:rPr>
              <w:t>N.A.</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425E67C" w:rsidR="002F0752" w:rsidRPr="00CF2E7C" w:rsidRDefault="00407AF9" w:rsidP="00CF2E7C">
            <w:pPr>
              <w:rPr>
                <w:rFonts w:ascii="Calibri" w:hAnsi="Calibri" w:cs="Calibri"/>
              </w:rPr>
            </w:pPr>
            <w:r w:rsidRPr="00407AF9">
              <w:rPr>
                <w:rFonts w:ascii="Calibri" w:hAnsi="Calibri" w:cs="Calibri"/>
              </w:rPr>
              <w:t xml:space="preserve">The </w:t>
            </w:r>
            <w:r>
              <w:rPr>
                <w:rFonts w:ascii="Calibri" w:hAnsi="Calibri" w:cs="Calibri"/>
              </w:rPr>
              <w:t>Resolution</w:t>
            </w:r>
            <w:r w:rsidRPr="00407AF9">
              <w:rPr>
                <w:rFonts w:ascii="Calibri" w:hAnsi="Calibri" w:cs="Calibri"/>
              </w:rPr>
              <w:t xml:space="preserve"> appl</w:t>
            </w:r>
            <w:r>
              <w:rPr>
                <w:rFonts w:ascii="Calibri" w:hAnsi="Calibri" w:cs="Calibri"/>
              </w:rPr>
              <w:t>ies</w:t>
            </w:r>
            <w:r w:rsidRPr="00407AF9">
              <w:rPr>
                <w:rFonts w:ascii="Calibri" w:hAnsi="Calibri" w:cs="Calibri"/>
              </w:rPr>
              <w:t xml:space="preserve"> to entities that conduct the specified regulated activities within the Italian jurisdiction. The </w:t>
            </w:r>
            <w:r>
              <w:rPr>
                <w:rFonts w:ascii="Calibri" w:hAnsi="Calibri" w:cs="Calibri"/>
              </w:rPr>
              <w:t>Resolution</w:t>
            </w:r>
            <w:r w:rsidRPr="00407AF9">
              <w:rPr>
                <w:rFonts w:ascii="Calibri" w:hAnsi="Calibri" w:cs="Calibri"/>
              </w:rPr>
              <w:t xml:space="preserve"> do not specify that the entity's </w:t>
            </w:r>
            <w:r w:rsidRPr="00407AF9">
              <w:rPr>
                <w:rFonts w:ascii="Calibri" w:hAnsi="Calibri" w:cs="Calibri"/>
              </w:rPr>
              <w:lastRenderedPageBreak/>
              <w:t>headquarters must be in the jurisdiction; the determinative factor is operational presence and the performance of the regulated activity in Italy.</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2BA048A" w14:textId="469C4655" w:rsidR="00407AF9" w:rsidRPr="00407AF9" w:rsidRDefault="00407AF9" w:rsidP="00407AF9">
            <w:pPr>
              <w:rPr>
                <w:rFonts w:ascii="Calibri" w:hAnsi="Calibri" w:cs="Calibri"/>
              </w:rPr>
            </w:pPr>
            <w:r w:rsidRPr="00F819F8">
              <w:rPr>
                <w:rFonts w:ascii="Calibri" w:hAnsi="Calibri" w:cs="Calibri"/>
                <w:b/>
                <w:bCs/>
              </w:rPr>
              <w:t>Functional criterion</w:t>
            </w:r>
            <w:r w:rsidRPr="00407AF9">
              <w:rPr>
                <w:rFonts w:ascii="Calibri" w:hAnsi="Calibri" w:cs="Calibri"/>
              </w:rPr>
              <w:t xml:space="preserve">: </w:t>
            </w:r>
            <w:r w:rsidR="00F819F8">
              <w:rPr>
                <w:rFonts w:ascii="Calibri" w:hAnsi="Calibri" w:cs="Calibri"/>
              </w:rPr>
              <w:t>m</w:t>
            </w:r>
            <w:r w:rsidRPr="00407AF9">
              <w:rPr>
                <w:rFonts w:ascii="Calibri" w:hAnsi="Calibri" w:cs="Calibri"/>
              </w:rPr>
              <w:t xml:space="preserve">andatory compliance applies to any entity that performs the activities of gas distribution and measurement, defined in the regulation as an </w:t>
            </w:r>
            <w:r w:rsidRPr="00407AF9">
              <w:rPr>
                <w:rFonts w:ascii="Calibri" w:hAnsi="Calibri" w:cs="Calibri"/>
                <w:i/>
                <w:iCs/>
              </w:rPr>
              <w:t>impresa distributrice</w:t>
            </w:r>
            <w:r w:rsidRPr="00407AF9">
              <w:rPr>
                <w:rFonts w:ascii="Calibri" w:hAnsi="Calibri" w:cs="Calibri"/>
              </w:rPr>
              <w:t xml:space="preserve"> (distribution company)</w:t>
            </w:r>
            <w:r>
              <w:rPr>
                <w:rFonts w:ascii="Calibri" w:hAnsi="Calibri" w:cs="Calibri"/>
              </w:rPr>
              <w:t xml:space="preserve">. </w:t>
            </w:r>
            <w:r w:rsidRPr="00407AF9">
              <w:rPr>
                <w:rFonts w:ascii="Calibri" w:hAnsi="Calibri" w:cs="Calibri"/>
              </w:rPr>
              <w:t>The obligations are thus tied to the nature of the service provided, irrespective of the entity's ownership structure (i.e., whether it is private, public, or state-owned). The core quality and safety regulations are universally applicable to every distribution plant operated by such an entity</w:t>
            </w:r>
            <w:r>
              <w:rPr>
                <w:rFonts w:ascii="Calibri" w:hAnsi="Calibri" w:cs="Calibri"/>
              </w:rPr>
              <w:t>.</w:t>
            </w:r>
          </w:p>
          <w:p w14:paraId="04BED8E4" w14:textId="0D8A9251" w:rsidR="00407AF9" w:rsidRPr="00407AF9" w:rsidRDefault="00407AF9" w:rsidP="00407AF9">
            <w:pPr>
              <w:rPr>
                <w:rFonts w:ascii="Calibri" w:hAnsi="Calibri" w:cs="Calibri"/>
              </w:rPr>
            </w:pPr>
            <w:r w:rsidRPr="00F819F8">
              <w:rPr>
                <w:rFonts w:ascii="Calibri" w:hAnsi="Calibri" w:cs="Calibri"/>
                <w:b/>
                <w:bCs/>
              </w:rPr>
              <w:t>Quantitative thresholds</w:t>
            </w:r>
            <w:r w:rsidRPr="00407AF9">
              <w:rPr>
                <w:rFonts w:ascii="Calibri" w:hAnsi="Calibri" w:cs="Calibri"/>
              </w:rPr>
              <w:t xml:space="preserve">: </w:t>
            </w:r>
            <w:r>
              <w:rPr>
                <w:rFonts w:ascii="Calibri" w:hAnsi="Calibri" w:cs="Calibri"/>
              </w:rPr>
              <w:t>f</w:t>
            </w:r>
            <w:r w:rsidRPr="00407AF9">
              <w:rPr>
                <w:rFonts w:ascii="Calibri" w:hAnsi="Calibri" w:cs="Calibri"/>
              </w:rPr>
              <w:t>or certain specific sets of obligations, the regulatory framework establishes quantitative thresholds based on the number of end customers an entity serves. This acts as a proxy for the size and scale of the distribution company. Key thresholds include:</w:t>
            </w:r>
          </w:p>
          <w:p w14:paraId="65122ABD" w14:textId="77777777" w:rsidR="00407AF9" w:rsidRDefault="00407AF9" w:rsidP="00407AF9">
            <w:pPr>
              <w:pStyle w:val="Paragrafoelenco"/>
              <w:numPr>
                <w:ilvl w:val="0"/>
                <w:numId w:val="49"/>
              </w:numPr>
              <w:rPr>
                <w:rFonts w:ascii="Calibri" w:hAnsi="Calibri" w:cs="Calibri"/>
              </w:rPr>
            </w:pPr>
            <w:r w:rsidRPr="00407AF9">
              <w:rPr>
                <w:rFonts w:ascii="Calibri" w:hAnsi="Calibri" w:cs="Calibri"/>
              </w:rPr>
              <w:t xml:space="preserve">Universal </w:t>
            </w:r>
            <w:r>
              <w:rPr>
                <w:rFonts w:ascii="Calibri" w:hAnsi="Calibri" w:cs="Calibri"/>
              </w:rPr>
              <w:t>a</w:t>
            </w:r>
            <w:r w:rsidRPr="00407AF9">
              <w:rPr>
                <w:rFonts w:ascii="Calibri" w:hAnsi="Calibri" w:cs="Calibri"/>
              </w:rPr>
              <w:t xml:space="preserve">pplication (including &lt; 1,000 customers): </w:t>
            </w:r>
            <w:r>
              <w:rPr>
                <w:rFonts w:ascii="Calibri" w:hAnsi="Calibri" w:cs="Calibri"/>
              </w:rPr>
              <w:t>t</w:t>
            </w:r>
            <w:r w:rsidRPr="00407AF9">
              <w:rPr>
                <w:rFonts w:ascii="Calibri" w:hAnsi="Calibri" w:cs="Calibri"/>
              </w:rPr>
              <w:t>he core economic incentive mechanism for safety improvements, which includes measures to reduce gas dispersions, is explicitly stated to apply to all natural gas distribution companies, including those managing plants with fewer than 1,000 end customers</w:t>
            </w:r>
            <w:r>
              <w:rPr>
                <w:rFonts w:ascii="Calibri" w:hAnsi="Calibri" w:cs="Calibri"/>
              </w:rPr>
              <w:t>.</w:t>
            </w:r>
            <w:r w:rsidRPr="00407AF9">
              <w:rPr>
                <w:rFonts w:ascii="Calibri" w:hAnsi="Calibri" w:cs="Calibri"/>
              </w:rPr>
              <w:t xml:space="preserve"> This establishes a baseline of compliance for even the smallest operators.</w:t>
            </w:r>
          </w:p>
          <w:p w14:paraId="367F9BCB" w14:textId="77777777" w:rsidR="00407AF9" w:rsidRDefault="00407AF9" w:rsidP="00407AF9">
            <w:pPr>
              <w:pStyle w:val="Paragrafoelenco"/>
              <w:numPr>
                <w:ilvl w:val="0"/>
                <w:numId w:val="49"/>
              </w:numPr>
              <w:rPr>
                <w:rFonts w:ascii="Calibri" w:hAnsi="Calibri" w:cs="Calibri"/>
              </w:rPr>
            </w:pPr>
            <w:r w:rsidRPr="00407AF9">
              <w:rPr>
                <w:rFonts w:ascii="Calibri" w:hAnsi="Calibri" w:cs="Calibri"/>
              </w:rPr>
              <w:t xml:space="preserve">More than 5,000 end customers: </w:t>
            </w:r>
            <w:r>
              <w:rPr>
                <w:rFonts w:ascii="Calibri" w:hAnsi="Calibri" w:cs="Calibri"/>
              </w:rPr>
              <w:t>a</w:t>
            </w:r>
            <w:r w:rsidRPr="00407AF9">
              <w:rPr>
                <w:rFonts w:ascii="Calibri" w:hAnsi="Calibri" w:cs="Calibri"/>
              </w:rPr>
              <w:t>n entity serving more than 5,000 end customers is subject to enhanced obligations regarding the communication of detailed quality performance data to the Authority</w:t>
            </w:r>
            <w:r>
              <w:rPr>
                <w:rFonts w:ascii="Calibri" w:hAnsi="Calibri" w:cs="Calibri"/>
              </w:rPr>
              <w:t>.</w:t>
            </w:r>
          </w:p>
          <w:p w14:paraId="43A11C61" w14:textId="58888BE4" w:rsidR="002F0752" w:rsidRPr="00407AF9" w:rsidRDefault="00407AF9" w:rsidP="00407AF9">
            <w:pPr>
              <w:pStyle w:val="Paragrafoelenco"/>
              <w:numPr>
                <w:ilvl w:val="0"/>
                <w:numId w:val="49"/>
              </w:numPr>
              <w:rPr>
                <w:rFonts w:ascii="Calibri" w:hAnsi="Calibri" w:cs="Calibri"/>
              </w:rPr>
            </w:pPr>
            <w:r w:rsidRPr="00407AF9">
              <w:rPr>
                <w:rFonts w:ascii="Calibri" w:hAnsi="Calibri" w:cs="Calibri"/>
              </w:rPr>
              <w:t xml:space="preserve">More than 50,000 end customers: An entity serving more than 50,000 end customers is subject to specific obligations concerning the performance of the gas </w:t>
            </w:r>
            <w:r w:rsidRPr="00407AF9">
              <w:rPr>
                <w:rFonts w:ascii="Calibri" w:hAnsi="Calibri" w:cs="Calibri"/>
              </w:rPr>
              <w:lastRenderedPageBreak/>
              <w:t>measurement service, including the mandatory replacement of traditional meters with smart meters where readings are not consistently obtained</w:t>
            </w:r>
            <w:r>
              <w:rPr>
                <w:rFonts w:ascii="Calibri" w:hAnsi="Calibri" w:cs="Calibri"/>
              </w:rPr>
              <w: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7BA452B" w:rsidR="002F0752" w:rsidRPr="00CF2E7C" w:rsidRDefault="00407AF9"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7CF38D0" w:rsidR="002F0752" w:rsidRPr="00CF2E7C" w:rsidRDefault="00DA47ED"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03C35490" w:rsidR="002F0752" w:rsidRPr="00CF2E7C" w:rsidRDefault="00DA47ED" w:rsidP="00CF2E7C">
            <w:pPr>
              <w:rPr>
                <w:rFonts w:ascii="Calibri" w:hAnsi="Calibri" w:cs="Calibri"/>
              </w:rPr>
            </w:pPr>
            <w:r>
              <w:rPr>
                <w:rFonts w:ascii="Calibri" w:hAnsi="Calibri" w:cs="Calibri"/>
              </w:rPr>
              <w:t>X</w:t>
            </w: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8FD959" w:rsidR="002F0752" w:rsidRPr="00CF2E7C" w:rsidRDefault="00DA47ED"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EDEA605" w14:textId="3622D9E6" w:rsidR="00DA47ED" w:rsidRPr="00DA47ED" w:rsidRDefault="00DA47ED" w:rsidP="00DA47ED">
            <w:pPr>
              <w:rPr>
                <w:rFonts w:ascii="Calibri" w:hAnsi="Calibri" w:cs="Calibri"/>
              </w:rPr>
            </w:pPr>
            <w:r w:rsidRPr="00DA47ED">
              <w:rPr>
                <w:rFonts w:ascii="Calibri" w:hAnsi="Calibri" w:cs="Calibri"/>
                <w:b/>
                <w:bCs/>
              </w:rPr>
              <w:t>Monetary fine</w:t>
            </w:r>
            <w:r w:rsidRPr="00B2104D">
              <w:rPr>
                <w:rFonts w:ascii="Calibri" w:hAnsi="Calibri" w:cs="Calibri"/>
                <w:b/>
                <w:bCs/>
              </w:rPr>
              <w:t>:</w:t>
            </w:r>
            <w:r w:rsidR="00AF4F3B">
              <w:rPr>
                <w:rFonts w:ascii="Calibri" w:hAnsi="Calibri" w:cs="Calibri"/>
                <w:b/>
                <w:bCs/>
              </w:rPr>
              <w:t xml:space="preserve"> </w:t>
            </w:r>
            <w:r w:rsidR="006A64DC" w:rsidRPr="00B2104D">
              <w:rPr>
                <w:rFonts w:ascii="Calibri" w:hAnsi="Calibri" w:cs="Calibri"/>
              </w:rPr>
              <w:t>t</w:t>
            </w:r>
            <w:r w:rsidRPr="00DA47ED">
              <w:rPr>
                <w:rFonts w:ascii="Calibri" w:hAnsi="Calibri" w:cs="Calibri"/>
              </w:rPr>
              <w:t>he Resolution empowers the Authority to impose direct monetary fines</w:t>
            </w:r>
            <w:r w:rsidRPr="00B2104D">
              <w:rPr>
                <w:rFonts w:ascii="Calibri" w:hAnsi="Calibri" w:cs="Calibri"/>
              </w:rPr>
              <w:t xml:space="preserve"> referred to in “</w:t>
            </w:r>
            <w:r w:rsidRPr="00B2104D">
              <w:rPr>
                <w:rFonts w:ascii="Calibri" w:hAnsi="Calibri" w:cs="Calibri"/>
                <w:i/>
                <w:iCs/>
              </w:rPr>
              <w:t>Titolo IV– Penalità per eventi di sicurezza o prestazioni di qualità commerciale non validi e non conformi</w:t>
            </w:r>
            <w:r w:rsidRPr="00B2104D">
              <w:rPr>
                <w:rFonts w:ascii="Calibri" w:hAnsi="Calibri" w:cs="Calibri"/>
                <w:b/>
                <w:bCs/>
                <w:i/>
                <w:iCs/>
              </w:rPr>
              <w:t xml:space="preserve">” </w:t>
            </w:r>
            <w:r w:rsidRPr="00B2104D">
              <w:rPr>
                <w:rFonts w:ascii="Calibri" w:hAnsi="Calibri" w:cs="Calibri"/>
              </w:rPr>
              <w:t>of the</w:t>
            </w:r>
            <w:r w:rsidRPr="00B2104D">
              <w:rPr>
                <w:rFonts w:ascii="Calibri" w:hAnsi="Calibri" w:cs="Calibri"/>
                <w:b/>
                <w:bCs/>
                <w:i/>
                <w:iCs/>
              </w:rPr>
              <w:t xml:space="preserve"> </w:t>
            </w:r>
            <w:r w:rsidRPr="00B2104D">
              <w:t xml:space="preserve">Annex A. </w:t>
            </w:r>
            <w:r w:rsidRPr="00DA47ED">
              <w:rPr>
                <w:rFonts w:ascii="Calibri" w:hAnsi="Calibri" w:cs="Calibri"/>
              </w:rPr>
              <w:t>These are applied in several instances, most notably:</w:t>
            </w:r>
          </w:p>
          <w:p w14:paraId="141A63BE" w14:textId="2F2804F7" w:rsidR="006A64DC" w:rsidRDefault="006A64DC" w:rsidP="006A64DC">
            <w:pPr>
              <w:pStyle w:val="Paragrafoelenco"/>
              <w:numPr>
                <w:ilvl w:val="0"/>
                <w:numId w:val="49"/>
              </w:numPr>
              <w:rPr>
                <w:rFonts w:ascii="Calibri" w:hAnsi="Calibri" w:cs="Calibri"/>
              </w:rPr>
            </w:pPr>
            <w:r>
              <w:rPr>
                <w:rFonts w:ascii="Calibri" w:hAnsi="Calibri" w:cs="Calibri"/>
              </w:rPr>
              <w:lastRenderedPageBreak/>
              <w:t>F</w:t>
            </w:r>
            <w:r w:rsidR="00DA47ED" w:rsidRPr="00DA47ED">
              <w:rPr>
                <w:rFonts w:ascii="Calibri" w:hAnsi="Calibri" w:cs="Calibri"/>
              </w:rPr>
              <w:t>or the submission of non-valid or non-compliant quality and safety data, with specific unit penalties established per infraction (e.g., €1,500 for a non-valid event and €350 for a non-compliant one)</w:t>
            </w:r>
            <w:r>
              <w:rPr>
                <w:rFonts w:ascii="Calibri" w:hAnsi="Calibri" w:cs="Calibri"/>
              </w:rPr>
              <w:t>.</w:t>
            </w:r>
          </w:p>
          <w:p w14:paraId="304E0D61" w14:textId="56E20D73" w:rsidR="006A64DC" w:rsidRDefault="006A64DC" w:rsidP="006A64DC">
            <w:pPr>
              <w:pStyle w:val="Paragrafoelenco"/>
              <w:numPr>
                <w:ilvl w:val="0"/>
                <w:numId w:val="49"/>
              </w:numPr>
              <w:rPr>
                <w:rFonts w:ascii="Calibri" w:hAnsi="Calibri" w:cs="Calibri"/>
              </w:rPr>
            </w:pPr>
            <w:r>
              <w:rPr>
                <w:rFonts w:ascii="Calibri" w:hAnsi="Calibri" w:cs="Calibri"/>
              </w:rPr>
              <w:t>F</w:t>
            </w:r>
            <w:r w:rsidR="00DA47ED" w:rsidRPr="006A64DC">
              <w:rPr>
                <w:rFonts w:ascii="Calibri" w:hAnsi="Calibri" w:cs="Calibri"/>
              </w:rPr>
              <w:t>or failure to comply with the obligation to replace traditional gas meters, for which a unit penalty of €4 per meter is levied annually.</w:t>
            </w:r>
          </w:p>
          <w:p w14:paraId="4BC7A400" w14:textId="17F5751A" w:rsidR="00DA47ED" w:rsidRPr="006A64DC" w:rsidRDefault="006A64DC" w:rsidP="006A64DC">
            <w:pPr>
              <w:pStyle w:val="Paragrafoelenco"/>
              <w:numPr>
                <w:ilvl w:val="0"/>
                <w:numId w:val="49"/>
              </w:numPr>
              <w:rPr>
                <w:rFonts w:ascii="Calibri" w:hAnsi="Calibri" w:cs="Calibri"/>
              </w:rPr>
            </w:pPr>
            <w:r>
              <w:rPr>
                <w:rFonts w:ascii="Calibri" w:hAnsi="Calibri" w:cs="Calibri"/>
              </w:rPr>
              <w:t>P</w:t>
            </w:r>
            <w:r w:rsidR="00DA47ED" w:rsidRPr="006A64DC">
              <w:rPr>
                <w:rFonts w:ascii="Calibri" w:hAnsi="Calibri" w:cs="Calibri"/>
              </w:rPr>
              <w:t>enalties are also a core component of the incentive mechanism for reducing gas leaks, where underperformance against set targets results in a financial penalty calculated based on a specific formula.</w:t>
            </w:r>
          </w:p>
          <w:p w14:paraId="41489727" w14:textId="7A0EB890" w:rsidR="006A64DC" w:rsidRDefault="00DA47ED" w:rsidP="006A64DC">
            <w:pPr>
              <w:jc w:val="both"/>
              <w:rPr>
                <w:rFonts w:ascii="Calibri" w:hAnsi="Calibri" w:cs="Calibri"/>
              </w:rPr>
            </w:pPr>
            <w:r w:rsidRPr="00DA47ED">
              <w:rPr>
                <w:rFonts w:ascii="Calibri" w:hAnsi="Calibri" w:cs="Calibri"/>
                <w:b/>
                <w:bCs/>
              </w:rPr>
              <w:t>Award of damages or compensation</w:t>
            </w:r>
            <w:r w:rsidR="006A64DC">
              <w:rPr>
                <w:rFonts w:ascii="Calibri" w:hAnsi="Calibri" w:cs="Calibri"/>
                <w:b/>
                <w:bCs/>
              </w:rPr>
              <w:t xml:space="preserve">: </w:t>
            </w:r>
            <w:r w:rsidR="00B2104D" w:rsidRPr="00B2104D">
              <w:rPr>
                <w:rFonts w:ascii="Calibri" w:hAnsi="Calibri" w:cs="Calibri"/>
              </w:rPr>
              <w:t>in the paragraph named “</w:t>
            </w:r>
            <w:r w:rsidR="00B2104D" w:rsidRPr="00B2104D">
              <w:rPr>
                <w:rFonts w:ascii="Calibri" w:hAnsi="Calibri" w:cs="Calibri"/>
                <w:i/>
                <w:iCs/>
              </w:rPr>
              <w:t xml:space="preserve">Titolo III – Indennizzi automatici” </w:t>
            </w:r>
            <w:r w:rsidR="00B2104D" w:rsidRPr="00B2104D">
              <w:rPr>
                <w:rFonts w:ascii="Calibri" w:hAnsi="Calibri" w:cs="Calibri"/>
              </w:rPr>
              <w:t>of the Annex A</w:t>
            </w:r>
            <w:r w:rsidR="00B2104D">
              <w:rPr>
                <w:rFonts w:ascii="Calibri" w:hAnsi="Calibri" w:cs="Calibri"/>
              </w:rPr>
              <w:t xml:space="preserve">, it is provided </w:t>
            </w:r>
            <w:r w:rsidRPr="00DA47ED">
              <w:rPr>
                <w:rFonts w:ascii="Calibri" w:hAnsi="Calibri" w:cs="Calibri"/>
              </w:rPr>
              <w:t>the payment of automatic indemnities to end customers when the distribution company fails to meet specific, defined levels of commercial quality of service. These fixed-amount payments serve as a form of liquidated damages. For example, failing to perform a simple task like activating a supply line within the required timeframe triggers an automatic payment to the affected customer. This indemnity does not preclude the customer from seeking further damages in a court of law.</w:t>
            </w:r>
          </w:p>
          <w:p w14:paraId="447AA35B" w14:textId="42CF2AC4" w:rsidR="002F0752" w:rsidRPr="00CF2E7C" w:rsidRDefault="00DA47ED" w:rsidP="00E2534F">
            <w:pPr>
              <w:jc w:val="both"/>
              <w:rPr>
                <w:rFonts w:ascii="Calibri" w:hAnsi="Calibri" w:cs="Calibri"/>
              </w:rPr>
            </w:pPr>
            <w:r w:rsidRPr="00DA47ED">
              <w:rPr>
                <w:rFonts w:ascii="Calibri" w:hAnsi="Calibri" w:cs="Calibri"/>
                <w:b/>
                <w:bCs/>
              </w:rPr>
              <w:t>Other (</w:t>
            </w:r>
            <w:r w:rsidR="006A64DC" w:rsidRPr="00DA47ED">
              <w:rPr>
                <w:rFonts w:ascii="Calibri" w:hAnsi="Calibri" w:cs="Calibri"/>
                <w:b/>
                <w:bCs/>
              </w:rPr>
              <w:t>reduction or forfeiture of economic incentives</w:t>
            </w:r>
            <w:r w:rsidRPr="00DA47ED">
              <w:rPr>
                <w:rFonts w:ascii="Calibri" w:hAnsi="Calibri" w:cs="Calibri"/>
                <w:b/>
                <w:bCs/>
              </w:rPr>
              <w:t>):</w:t>
            </w:r>
            <w:r w:rsidR="00AF4F3B">
              <w:rPr>
                <w:rFonts w:ascii="Calibri" w:hAnsi="Calibri" w:cs="Calibri"/>
                <w:b/>
                <w:bCs/>
              </w:rPr>
              <w:t xml:space="preserve"> </w:t>
            </w:r>
            <w:r w:rsidR="006A64DC">
              <w:rPr>
                <w:rFonts w:ascii="Calibri" w:hAnsi="Calibri" w:cs="Calibri"/>
              </w:rPr>
              <w:t>a</w:t>
            </w:r>
            <w:r w:rsidRPr="00DA47ED">
              <w:rPr>
                <w:rFonts w:ascii="Calibri" w:hAnsi="Calibri" w:cs="Calibri"/>
              </w:rPr>
              <w:t xml:space="preserve"> significant sanction within the regulatory scheme is the reduction or complete cancellation of performance-based financial rewards</w:t>
            </w:r>
            <w:r w:rsidR="00B2104D">
              <w:rPr>
                <w:rFonts w:ascii="Calibri" w:hAnsi="Calibri" w:cs="Calibri"/>
              </w:rPr>
              <w:t>, as provided in paragraph named “</w:t>
            </w:r>
            <w:r w:rsidR="00B2104D" w:rsidRPr="00B2104D">
              <w:rPr>
                <w:rFonts w:ascii="Calibri" w:hAnsi="Calibri" w:cs="Calibri"/>
                <w:i/>
                <w:iCs/>
              </w:rPr>
              <w:t>Titolo VIII – Recuperi di sicurezza del servizio di distribuzione”</w:t>
            </w:r>
            <w:r w:rsidR="00B2104D">
              <w:rPr>
                <w:rFonts w:ascii="Calibri" w:hAnsi="Calibri" w:cs="Calibri"/>
                <w:i/>
                <w:iCs/>
              </w:rPr>
              <w:t xml:space="preserve"> </w:t>
            </w:r>
            <w:r w:rsidR="00B2104D" w:rsidRPr="00B2104D">
              <w:rPr>
                <w:rFonts w:ascii="Calibri" w:hAnsi="Calibri" w:cs="Calibri"/>
              </w:rPr>
              <w:t>of the Annex A</w:t>
            </w:r>
            <w:r w:rsidRPr="00DA47ED">
              <w:rPr>
                <w:rFonts w:ascii="Calibri" w:hAnsi="Calibri" w:cs="Calibri"/>
              </w:rPr>
              <w:t>. Distribution companies are eligible for these premiums based on their performance in areas such as gas odorization and leak reduction. However, Article 45 stipulates that these premiums shall be reduced by 50% in the event of a single gas-related accident attributable to the company, and forfeited entirely if two or more such accidents occur. Furthermore, an entity loses its right to collect any premiums for a given year if it is found to be in breach of one or more of its core service obligations. This mechanism functions as a direct financial sanction by withholding earned rewards as a penalty for non-compliance with safety and service standards.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F7D21C4" w:rsidR="002F0752" w:rsidRPr="00CF2E7C" w:rsidRDefault="006306B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7E5BCEA" w:rsidR="002F0752" w:rsidRPr="00CF2E7C" w:rsidRDefault="006306B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59416E6" w:rsidR="002F0752" w:rsidRPr="00CF2E7C" w:rsidRDefault="006306B6"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lastRenderedPageBreak/>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lastRenderedPageBreak/>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76FE651" w:rsidR="002F0752" w:rsidRPr="00CF2E7C" w:rsidRDefault="006306B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lastRenderedPageBreak/>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5293942E"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223B060" w:rsidR="002F0752" w:rsidRPr="33822AF7" w:rsidRDefault="00B82AA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3DE331D" w:rsidR="002F0752" w:rsidRPr="00CF2E7C" w:rsidRDefault="007237D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8AB2A7E" w14:textId="475C361A" w:rsidR="007237DB" w:rsidRPr="007237DB" w:rsidRDefault="007237DB" w:rsidP="007237DB">
            <w:pPr>
              <w:rPr>
                <w:rFonts w:ascii="Calibri" w:eastAsia="Calibri" w:hAnsi="Calibri" w:cs="Calibri"/>
                <w:color w:val="000000" w:themeColor="text1"/>
              </w:rPr>
            </w:pPr>
            <w:r w:rsidRPr="007237DB">
              <w:rPr>
                <w:rFonts w:ascii="Calibri" w:eastAsia="Calibri" w:hAnsi="Calibri" w:cs="Calibri"/>
                <w:color w:val="000000" w:themeColor="text1"/>
              </w:rPr>
              <w:t xml:space="preserve">The framework established by </w:t>
            </w:r>
            <w:r>
              <w:rPr>
                <w:rFonts w:ascii="Calibri" w:eastAsia="Calibri" w:hAnsi="Calibri" w:cs="Calibri"/>
                <w:color w:val="000000" w:themeColor="text1"/>
              </w:rPr>
              <w:t xml:space="preserve">the </w:t>
            </w:r>
            <w:r w:rsidRPr="007237DB">
              <w:rPr>
                <w:rFonts w:ascii="Calibri" w:eastAsia="Calibri" w:hAnsi="Calibri" w:cs="Calibri"/>
                <w:color w:val="000000" w:themeColor="text1"/>
              </w:rPr>
              <w:t>Resolution</w:t>
            </w:r>
            <w:r w:rsidR="0025089D">
              <w:rPr>
                <w:rFonts w:ascii="Calibri" w:eastAsia="Calibri" w:hAnsi="Calibri" w:cs="Calibri"/>
                <w:color w:val="000000" w:themeColor="text1"/>
              </w:rPr>
              <w:t>, specifically in the section named “</w:t>
            </w:r>
            <w:r w:rsidR="0025089D" w:rsidRPr="0025089D">
              <w:rPr>
                <w:rFonts w:ascii="Calibri" w:eastAsia="Calibri" w:hAnsi="Calibri" w:cs="Calibri"/>
                <w:i/>
                <w:iCs/>
                <w:color w:val="000000" w:themeColor="text1"/>
              </w:rPr>
              <w:t>Titolo VI – Norme tecniche per la sicurezza e la continuità del servizio</w:t>
            </w:r>
            <w:r w:rsidR="0025089D">
              <w:rPr>
                <w:rFonts w:ascii="Calibri" w:eastAsia="Calibri" w:hAnsi="Calibri" w:cs="Calibri"/>
                <w:i/>
                <w:iCs/>
                <w:color w:val="000000" w:themeColor="text1"/>
              </w:rPr>
              <w:t xml:space="preserve">” </w:t>
            </w:r>
            <w:r w:rsidR="0025089D" w:rsidRPr="0025089D">
              <w:rPr>
                <w:rFonts w:ascii="Calibri" w:eastAsia="Calibri" w:hAnsi="Calibri" w:cs="Calibri"/>
                <w:color w:val="000000" w:themeColor="text1"/>
              </w:rPr>
              <w:t>of Annex A, l</w:t>
            </w:r>
            <w:r w:rsidRPr="007237DB">
              <w:rPr>
                <w:rFonts w:ascii="Calibri" w:eastAsia="Calibri" w:hAnsi="Calibri" w:cs="Calibri"/>
                <w:color w:val="000000" w:themeColor="text1"/>
              </w:rPr>
              <w:t>egally mandates that gas distribution companies adhere to a specific hierarchy of technical standards for measuring, detecting, and localizing fugitive methane emissions.</w:t>
            </w:r>
          </w:p>
          <w:p w14:paraId="598A0E78" w14:textId="77777777" w:rsidR="007237DB" w:rsidRPr="007237DB" w:rsidRDefault="007237DB" w:rsidP="007237DB">
            <w:pPr>
              <w:rPr>
                <w:rFonts w:ascii="Calibri" w:eastAsia="Calibri" w:hAnsi="Calibri" w:cs="Calibri"/>
                <w:color w:val="000000" w:themeColor="text1"/>
              </w:rPr>
            </w:pPr>
            <w:r w:rsidRPr="007237DB">
              <w:rPr>
                <w:rFonts w:ascii="Calibri" w:eastAsia="Calibri" w:hAnsi="Calibri" w:cs="Calibri"/>
                <w:color w:val="000000" w:themeColor="text1"/>
              </w:rPr>
              <w:t>The requirement is established through the following provisions:</w:t>
            </w:r>
          </w:p>
          <w:p w14:paraId="205A049C" w14:textId="50BE9A90" w:rsidR="007237DB" w:rsidRPr="007237DB" w:rsidRDefault="007237DB" w:rsidP="007237DB">
            <w:pPr>
              <w:numPr>
                <w:ilvl w:val="0"/>
                <w:numId w:val="54"/>
              </w:numPr>
              <w:rPr>
                <w:rFonts w:ascii="Calibri" w:eastAsia="Calibri" w:hAnsi="Calibri" w:cs="Calibri"/>
                <w:color w:val="000000" w:themeColor="text1"/>
              </w:rPr>
            </w:pPr>
            <w:r w:rsidRPr="007237DB">
              <w:rPr>
                <w:rFonts w:ascii="Calibri" w:eastAsia="Calibri" w:hAnsi="Calibri" w:cs="Calibri"/>
                <w:b/>
                <w:bCs/>
                <w:color w:val="000000" w:themeColor="text1"/>
              </w:rPr>
              <w:t>Mandatory Technical Standards:</w:t>
            </w:r>
            <w:r w:rsidRPr="007237DB">
              <w:rPr>
                <w:rFonts w:ascii="Calibri" w:eastAsia="Calibri" w:hAnsi="Calibri" w:cs="Calibri"/>
                <w:color w:val="000000" w:themeColor="text1"/>
              </w:rPr>
              <w:t> Article 35 explicitly states that for the implementation of the regulation's safety and continuity rules, "the current UNI and CEI technical standards, technical specifications or technical reports apply". This makes adherence to the standards of the Italian National Standards Body (UNI) and the Italian Electrotechnical Committee (CEI) a binding legal obligation.</w:t>
            </w:r>
          </w:p>
          <w:p w14:paraId="386FA78B" w14:textId="58114E3F" w:rsidR="007237DB" w:rsidRPr="007237DB" w:rsidRDefault="007237DB" w:rsidP="007237DB">
            <w:pPr>
              <w:numPr>
                <w:ilvl w:val="0"/>
                <w:numId w:val="54"/>
              </w:numPr>
              <w:rPr>
                <w:rFonts w:ascii="Calibri" w:eastAsia="Calibri" w:hAnsi="Calibri" w:cs="Calibri"/>
                <w:color w:val="000000" w:themeColor="text1"/>
              </w:rPr>
            </w:pPr>
            <w:r w:rsidRPr="007237DB">
              <w:rPr>
                <w:rFonts w:ascii="Calibri" w:eastAsia="Calibri" w:hAnsi="Calibri" w:cs="Calibri"/>
                <w:b/>
                <w:bCs/>
                <w:color w:val="000000" w:themeColor="text1"/>
              </w:rPr>
              <w:t>Mandatory Industry Guidelines:</w:t>
            </w:r>
            <w:r w:rsidRPr="007237DB">
              <w:rPr>
                <w:rFonts w:ascii="Calibri" w:eastAsia="Calibri" w:hAnsi="Calibri" w:cs="Calibri"/>
                <w:color w:val="000000" w:themeColor="text1"/>
              </w:rPr>
              <w:t> The framework anticipates cases where a formal national standard may not exist. In such instances, Article 35.2 requires that "guidelines defined by the competent technical bodies UNI/CIG and APCE are adopted". This elevates the guidelines of the Italian Gas Committee (CIG) and the Association for Protection from Electrolytic Corrosion (APCE) to a required methodology. The preamble to the Resolution lists a wide array of these specific standards and guidelines as foundational to the regulation.</w:t>
            </w:r>
          </w:p>
          <w:p w14:paraId="2E7B554A" w14:textId="77777777" w:rsidR="007237DB" w:rsidRPr="007237DB" w:rsidRDefault="007237DB" w:rsidP="007237DB">
            <w:pPr>
              <w:numPr>
                <w:ilvl w:val="0"/>
                <w:numId w:val="54"/>
              </w:numPr>
              <w:rPr>
                <w:rFonts w:ascii="Calibri" w:eastAsia="Calibri" w:hAnsi="Calibri" w:cs="Calibri"/>
                <w:color w:val="000000" w:themeColor="text1"/>
              </w:rPr>
            </w:pPr>
            <w:r w:rsidRPr="007237DB">
              <w:rPr>
                <w:rFonts w:ascii="Calibri" w:eastAsia="Calibri" w:hAnsi="Calibri" w:cs="Calibri"/>
                <w:b/>
                <w:bCs/>
                <w:color w:val="000000" w:themeColor="text1"/>
              </w:rPr>
              <w:t>Specific Methodological Requirements:</w:t>
            </w:r>
            <w:r w:rsidRPr="007237DB">
              <w:rPr>
                <w:rFonts w:ascii="Calibri" w:eastAsia="Calibri" w:hAnsi="Calibri" w:cs="Calibri"/>
                <w:color w:val="000000" w:themeColor="text1"/>
              </w:rPr>
              <w:t> The regulation applies this requirement to specific methane-related activities:</w:t>
            </w:r>
          </w:p>
          <w:p w14:paraId="4C83D0E6" w14:textId="1398AAF9" w:rsidR="007237DB" w:rsidRPr="007237DB" w:rsidRDefault="007237DB" w:rsidP="007237DB">
            <w:pPr>
              <w:numPr>
                <w:ilvl w:val="1"/>
                <w:numId w:val="54"/>
              </w:numPr>
              <w:rPr>
                <w:rFonts w:ascii="Calibri" w:eastAsia="Calibri" w:hAnsi="Calibri" w:cs="Calibri"/>
                <w:color w:val="000000" w:themeColor="text1"/>
              </w:rPr>
            </w:pPr>
            <w:r w:rsidRPr="007237DB">
              <w:rPr>
                <w:rFonts w:ascii="Calibri" w:eastAsia="Calibri" w:hAnsi="Calibri" w:cs="Calibri"/>
                <w:b/>
                <w:bCs/>
                <w:color w:val="000000" w:themeColor="text1"/>
              </w:rPr>
              <w:t>Leak Detection Inspections:</w:t>
            </w:r>
            <w:r w:rsidRPr="007237DB">
              <w:rPr>
                <w:rFonts w:ascii="Calibri" w:eastAsia="Calibri" w:hAnsi="Calibri" w:cs="Calibri"/>
                <w:color w:val="000000" w:themeColor="text1"/>
              </w:rPr>
              <w:t> For a section of the network to be officially classified as inspected, the inspection "must have been carried out in conformity with the provisions of the current technical standards on the matter".</w:t>
            </w:r>
          </w:p>
          <w:p w14:paraId="77F1D94C" w14:textId="2A88357A" w:rsidR="007237DB" w:rsidRPr="007237DB" w:rsidRDefault="007237DB" w:rsidP="007237DB">
            <w:pPr>
              <w:numPr>
                <w:ilvl w:val="1"/>
                <w:numId w:val="54"/>
              </w:numPr>
              <w:rPr>
                <w:rFonts w:ascii="Calibri" w:eastAsia="Calibri" w:hAnsi="Calibri" w:cs="Calibri"/>
                <w:color w:val="000000" w:themeColor="text1"/>
              </w:rPr>
            </w:pPr>
            <w:r w:rsidRPr="007237DB">
              <w:rPr>
                <w:rFonts w:ascii="Calibri" w:eastAsia="Calibri" w:hAnsi="Calibri" w:cs="Calibri"/>
                <w:b/>
                <w:bCs/>
                <w:color w:val="000000" w:themeColor="text1"/>
              </w:rPr>
              <w:lastRenderedPageBreak/>
              <w:t>Leak Localization:</w:t>
            </w:r>
            <w:r w:rsidRPr="007237DB">
              <w:rPr>
                <w:rFonts w:ascii="Calibri" w:eastAsia="Calibri" w:hAnsi="Calibri" w:cs="Calibri"/>
                <w:color w:val="000000" w:themeColor="text1"/>
              </w:rPr>
              <w:t> The methodology for pinpointing the exact location of a leak "must be carried out in conformity with the provisions of the current technical standards on the matter".</w:t>
            </w:r>
          </w:p>
          <w:p w14:paraId="142A3F55" w14:textId="77777777" w:rsidR="007237DB" w:rsidRPr="007237DB" w:rsidRDefault="007237DB" w:rsidP="007237DB">
            <w:pPr>
              <w:numPr>
                <w:ilvl w:val="1"/>
                <w:numId w:val="54"/>
              </w:numPr>
              <w:rPr>
                <w:rFonts w:ascii="Calibri" w:eastAsia="Calibri" w:hAnsi="Calibri" w:cs="Calibri"/>
                <w:color w:val="000000" w:themeColor="text1"/>
              </w:rPr>
            </w:pPr>
            <w:r w:rsidRPr="007237DB">
              <w:rPr>
                <w:rFonts w:ascii="Calibri" w:eastAsia="Calibri" w:hAnsi="Calibri" w:cs="Calibri"/>
                <w:b/>
                <w:bCs/>
                <w:color w:val="000000" w:themeColor="text1"/>
              </w:rPr>
              <w:t>Pressure Monitoring:</w:t>
            </w:r>
            <w:r w:rsidRPr="007237DB">
              <w:rPr>
                <w:rFonts w:ascii="Calibri" w:eastAsia="Calibri" w:hAnsi="Calibri" w:cs="Calibri"/>
                <w:color w:val="000000" w:themeColor="text1"/>
              </w:rPr>
              <w:t> The selection of points for monitoring gas pressure in the low-pressure network "must be carried out according to the criteria provided for by paragraph 5.2 of the UNI/TR 11631:2016" standard</w:t>
            </w:r>
          </w:p>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2CA7C0AD" w:rsidR="002F0752" w:rsidRPr="00CF2E7C" w:rsidRDefault="002508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F215E80" w14:textId="517EDA53" w:rsidR="0025089D" w:rsidRPr="0025089D" w:rsidRDefault="0025089D" w:rsidP="0025089D">
            <w:pPr>
              <w:rPr>
                <w:rFonts w:ascii="Calibri" w:eastAsia="Calibri" w:hAnsi="Calibri" w:cs="Calibri"/>
                <w:color w:val="000000" w:themeColor="text1"/>
              </w:rPr>
            </w:pPr>
            <w:r w:rsidRPr="0025089D">
              <w:rPr>
                <w:rFonts w:ascii="Calibri" w:eastAsia="Calibri" w:hAnsi="Calibri" w:cs="Calibri"/>
                <w:color w:val="000000" w:themeColor="text1"/>
              </w:rPr>
              <w:t>The policy tool creates a two-tiered system for public disclosure. It distinguishes between information the gas distribution company must publish itself and the detailed emissions data that the regulator (ARERA) is authorized to publish.</w:t>
            </w:r>
          </w:p>
          <w:p w14:paraId="1E334319" w14:textId="34AE7A38" w:rsidR="0025089D" w:rsidRPr="00C67F3B" w:rsidRDefault="0025089D" w:rsidP="00C67F3B">
            <w:pPr>
              <w:pStyle w:val="Paragrafoelenco"/>
              <w:numPr>
                <w:ilvl w:val="0"/>
                <w:numId w:val="49"/>
              </w:numPr>
              <w:rPr>
                <w:rFonts w:ascii="Calibri" w:eastAsia="Calibri" w:hAnsi="Calibri" w:cs="Calibri"/>
                <w:color w:val="000000" w:themeColor="text1"/>
              </w:rPr>
            </w:pPr>
            <w:r w:rsidRPr="00C67F3B">
              <w:rPr>
                <w:rFonts w:ascii="Calibri" w:eastAsia="Calibri" w:hAnsi="Calibri" w:cs="Calibri"/>
                <w:b/>
                <w:bCs/>
                <w:color w:val="000000" w:themeColor="text1"/>
              </w:rPr>
              <w:t>Direct Company Obligation (Inspection Plans):</w:t>
            </w:r>
            <w:r w:rsidRPr="00C67F3B">
              <w:rPr>
                <w:rFonts w:ascii="Calibri" w:eastAsia="Calibri" w:hAnsi="Calibri" w:cs="Calibri"/>
                <w:color w:val="000000" w:themeColor="text1"/>
              </w:rPr>
              <w:t> The distribution company is not required to publish its actual leak data. Instead, it has a direct and mandatory obligation to publish its </w:t>
            </w:r>
            <w:r w:rsidRPr="00C67F3B">
              <w:rPr>
                <w:rFonts w:ascii="Calibri" w:eastAsia="Calibri" w:hAnsi="Calibri" w:cs="Calibri"/>
                <w:i/>
                <w:iCs/>
                <w:color w:val="000000" w:themeColor="text1"/>
              </w:rPr>
              <w:t>monthly inspection plan</w:t>
            </w:r>
            <w:r w:rsidRPr="00C67F3B">
              <w:rPr>
                <w:rFonts w:ascii="Calibri" w:eastAsia="Calibri" w:hAnsi="Calibri" w:cs="Calibri"/>
                <w:color w:val="000000" w:themeColor="text1"/>
              </w:rPr>
              <w:t> on its website</w:t>
            </w:r>
            <w:r w:rsidR="00C67F3B" w:rsidRPr="00C67F3B">
              <w:rPr>
                <w:rFonts w:ascii="Calibri" w:eastAsia="Calibri" w:hAnsi="Calibri" w:cs="Calibri"/>
                <w:color w:val="000000" w:themeColor="text1"/>
              </w:rPr>
              <w:t>, as provided on Article 14 of the Annex A</w:t>
            </w:r>
            <w:r w:rsidRPr="00C67F3B">
              <w:rPr>
                <w:rFonts w:ascii="Calibri" w:eastAsia="Calibri" w:hAnsi="Calibri" w:cs="Calibri"/>
                <w:color w:val="000000" w:themeColor="text1"/>
              </w:rPr>
              <w:t>. This plan must detail the specific areas (municipalities, streets, squares) and parts of the system (e.g., high/low-pressure network, user connections) that were subject to inspection during the preceding month. This provides public transparency on the </w:t>
            </w:r>
            <w:r w:rsidRPr="00C67F3B">
              <w:rPr>
                <w:rFonts w:ascii="Calibri" w:eastAsia="Calibri" w:hAnsi="Calibri" w:cs="Calibri"/>
                <w:i/>
                <w:iCs/>
                <w:color w:val="000000" w:themeColor="text1"/>
              </w:rPr>
              <w:t>effort</w:t>
            </w:r>
            <w:r w:rsidRPr="00C67F3B">
              <w:rPr>
                <w:rFonts w:ascii="Calibri" w:eastAsia="Calibri" w:hAnsi="Calibri" w:cs="Calibri"/>
                <w:color w:val="000000" w:themeColor="text1"/>
              </w:rPr>
              <w:t> to find leaks, but not the </w:t>
            </w:r>
            <w:r w:rsidRPr="00C67F3B">
              <w:rPr>
                <w:rFonts w:ascii="Calibri" w:eastAsia="Calibri" w:hAnsi="Calibri" w:cs="Calibri"/>
                <w:i/>
                <w:iCs/>
                <w:color w:val="000000" w:themeColor="text1"/>
              </w:rPr>
              <w:t>results</w:t>
            </w:r>
            <w:r w:rsidRPr="00C67F3B">
              <w:rPr>
                <w:rFonts w:ascii="Calibri" w:eastAsia="Calibri" w:hAnsi="Calibri" w:cs="Calibri"/>
                <w:color w:val="000000" w:themeColor="text1"/>
              </w:rPr>
              <w:t> of those efforts.</w:t>
            </w:r>
          </w:p>
          <w:p w14:paraId="2FA1CD75" w14:textId="3845D1AE" w:rsidR="0025089D" w:rsidRPr="00C67F3B" w:rsidRDefault="0025089D" w:rsidP="00C67F3B">
            <w:pPr>
              <w:pStyle w:val="Paragrafoelenco"/>
              <w:numPr>
                <w:ilvl w:val="0"/>
                <w:numId w:val="49"/>
              </w:numPr>
              <w:rPr>
                <w:rFonts w:ascii="Calibri" w:eastAsia="Calibri" w:hAnsi="Calibri" w:cs="Calibri"/>
                <w:color w:val="000000" w:themeColor="text1"/>
              </w:rPr>
            </w:pPr>
            <w:r w:rsidRPr="00C67F3B">
              <w:rPr>
                <w:rFonts w:ascii="Calibri" w:eastAsia="Calibri" w:hAnsi="Calibri" w:cs="Calibri"/>
                <w:b/>
                <w:bCs/>
                <w:color w:val="000000" w:themeColor="text1"/>
              </w:rPr>
              <w:t>Indirect Disclosure via the Regulator (Leak Data):</w:t>
            </w:r>
            <w:r w:rsidRPr="00C67F3B">
              <w:rPr>
                <w:rFonts w:ascii="Calibri" w:eastAsia="Calibri" w:hAnsi="Calibri" w:cs="Calibri"/>
                <w:color w:val="000000" w:themeColor="text1"/>
              </w:rPr>
              <w:t> The framework mandates that each distribution company must record and report highly detailed data on all localized gas leaks to the regulator, ARERA. The regulation then explicitly states that "The Authority may use the information and data... for the purposes of their publication, including for comparison"</w:t>
            </w:r>
            <w:r w:rsidR="00C67F3B">
              <w:rPr>
                <w:rFonts w:ascii="Calibri" w:eastAsia="Calibri" w:hAnsi="Calibri" w:cs="Calibri"/>
                <w:color w:val="000000" w:themeColor="text1"/>
              </w:rPr>
              <w:t>, as provided in Article 38.12 of Annex A</w:t>
            </w:r>
            <w:r w:rsidRPr="00C67F3B">
              <w:rPr>
                <w:rFonts w:ascii="Calibri" w:eastAsia="Calibri" w:hAnsi="Calibri" w:cs="Calibri"/>
                <w:color w:val="000000" w:themeColor="text1"/>
              </w:rPr>
              <w:t>. This creates a mechanism for public disclosure, but it is executed at the discretion of the regulator, not as a direct requirement on the company.</w:t>
            </w:r>
          </w:p>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1CE94F8C" w:rsidR="002F0752" w:rsidRPr="00CF2E7C" w:rsidRDefault="00CD7E3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3D9D824E" w:rsidR="002F0752" w:rsidRPr="00CF2E7C" w:rsidRDefault="00CD7E3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605B2EDC" w:rsidR="002F0752" w:rsidRPr="00CF2E7C" w:rsidRDefault="00DD60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BBA8005" w:rsidR="002F0752" w:rsidRPr="00CF2E7C" w:rsidRDefault="006925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36218C84" w:rsidR="002F0752" w:rsidRPr="00CF2E7C" w:rsidRDefault="00F87F5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7F04D6E" w:rsidR="002F0752" w:rsidRPr="00CF2E7C" w:rsidRDefault="00B15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28D735B3" w:rsidR="002F0752" w:rsidRPr="00CF2E7C" w:rsidRDefault="00B1575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333EB78" w:rsidR="002F0752" w:rsidRPr="00CF2E7C" w:rsidRDefault="00B15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42A2691A" w:rsidR="002F0752" w:rsidRPr="00CF2E7C" w:rsidRDefault="00A307F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B2E83A4" w14:textId="47AE0661" w:rsidR="007329B0" w:rsidRPr="007329B0" w:rsidRDefault="007329B0" w:rsidP="007329B0">
            <w:pPr>
              <w:rPr>
                <w:rFonts w:ascii="Calibri" w:eastAsia="Calibri" w:hAnsi="Calibri" w:cs="Calibri"/>
                <w:color w:val="000000" w:themeColor="text1"/>
              </w:rPr>
            </w:pPr>
            <w:r w:rsidRPr="007329B0">
              <w:rPr>
                <w:rFonts w:ascii="Calibri" w:eastAsia="Calibri" w:hAnsi="Calibri" w:cs="Calibri"/>
                <w:color w:val="000000" w:themeColor="text1"/>
              </w:rPr>
              <w:t xml:space="preserve">The </w:t>
            </w:r>
            <w:r w:rsidR="007833D3" w:rsidRPr="007833D3">
              <w:rPr>
                <w:rFonts w:ascii="Calibri" w:eastAsia="Calibri" w:hAnsi="Calibri" w:cs="Calibri"/>
                <w:color w:val="000000" w:themeColor="text1"/>
              </w:rPr>
              <w:t>Resolution</w:t>
            </w:r>
            <w:r w:rsidRPr="007329B0">
              <w:rPr>
                <w:rFonts w:ascii="Calibri" w:eastAsia="Calibri" w:hAnsi="Calibri" w:cs="Calibri"/>
                <w:color w:val="000000" w:themeColor="text1"/>
              </w:rPr>
              <w:t xml:space="preserve"> prescribes several different frequencies for leak detection inspections, which vary depending on the pressure level and material of the pipeline. Therefore, no single option from the list is sufficient.</w:t>
            </w:r>
          </w:p>
          <w:p w14:paraId="627CF26F" w14:textId="3DE540CC" w:rsidR="007329B0" w:rsidRPr="007329B0" w:rsidRDefault="007329B0" w:rsidP="007329B0">
            <w:pPr>
              <w:rPr>
                <w:rFonts w:ascii="Calibri" w:eastAsia="Calibri" w:hAnsi="Calibri" w:cs="Calibri"/>
                <w:color w:val="000000" w:themeColor="text1"/>
              </w:rPr>
            </w:pPr>
            <w:r w:rsidRPr="007329B0">
              <w:rPr>
                <w:rFonts w:ascii="Calibri" w:eastAsia="Calibri" w:hAnsi="Calibri" w:cs="Calibri"/>
                <w:color w:val="000000" w:themeColor="text1"/>
              </w:rPr>
              <w:t>Article 14.2 of the regulation establishes the following mandatory inspection periodicities:</w:t>
            </w:r>
          </w:p>
          <w:p w14:paraId="6E6D6D94" w14:textId="30185E52" w:rsidR="007329B0" w:rsidRPr="007329B0" w:rsidRDefault="007329B0" w:rsidP="007329B0">
            <w:pPr>
              <w:numPr>
                <w:ilvl w:val="0"/>
                <w:numId w:val="56"/>
              </w:numPr>
              <w:rPr>
                <w:rFonts w:ascii="Calibri" w:eastAsia="Calibri" w:hAnsi="Calibri" w:cs="Calibri"/>
                <w:color w:val="000000" w:themeColor="text1"/>
              </w:rPr>
            </w:pPr>
            <w:r w:rsidRPr="007329B0">
              <w:rPr>
                <w:rFonts w:ascii="Calibri" w:eastAsia="Calibri" w:hAnsi="Calibri" w:cs="Calibri"/>
                <w:color w:val="000000" w:themeColor="text1"/>
              </w:rPr>
              <w:t>100% of the high and medium pressure (AP/MP) network must be inspected over a rolling 3-year period.</w:t>
            </w:r>
          </w:p>
          <w:p w14:paraId="7711BE20" w14:textId="52254678" w:rsidR="007329B0" w:rsidRPr="007329B0" w:rsidRDefault="007329B0" w:rsidP="007329B0">
            <w:pPr>
              <w:numPr>
                <w:ilvl w:val="0"/>
                <w:numId w:val="56"/>
              </w:numPr>
              <w:rPr>
                <w:rFonts w:ascii="Calibri" w:eastAsia="Calibri" w:hAnsi="Calibri" w:cs="Calibri"/>
                <w:color w:val="000000" w:themeColor="text1"/>
              </w:rPr>
            </w:pPr>
            <w:r w:rsidRPr="007329B0">
              <w:rPr>
                <w:rFonts w:ascii="Calibri" w:eastAsia="Calibri" w:hAnsi="Calibri" w:cs="Calibri"/>
                <w:color w:val="000000" w:themeColor="text1"/>
              </w:rPr>
              <w:t>100% of the low pressure (BP) network must be inspected over a rolling 4-year period.</w:t>
            </w:r>
          </w:p>
          <w:p w14:paraId="7EB7B919" w14:textId="727E789C" w:rsidR="007329B0" w:rsidRPr="007329B0" w:rsidRDefault="007329B0" w:rsidP="007329B0">
            <w:pPr>
              <w:numPr>
                <w:ilvl w:val="0"/>
                <w:numId w:val="56"/>
              </w:numPr>
              <w:rPr>
                <w:rFonts w:ascii="Calibri" w:eastAsia="Calibri" w:hAnsi="Calibri" w:cs="Calibri"/>
                <w:color w:val="000000" w:themeColor="text1"/>
              </w:rPr>
            </w:pPr>
            <w:r w:rsidRPr="007329B0">
              <w:rPr>
                <w:rFonts w:ascii="Calibri" w:eastAsia="Calibri" w:hAnsi="Calibri" w:cs="Calibri"/>
                <w:color w:val="000000" w:themeColor="text1"/>
              </w:rPr>
              <w:t>100% of the network made from higher-risk materials (such as steel that is not cathodically protected, or cast iron with specific types of joints) must be inspected annually.</w:t>
            </w:r>
          </w:p>
          <w:p w14:paraId="51A328C8" w14:textId="3ED47C40" w:rsidR="002F0752" w:rsidRPr="007833D3" w:rsidRDefault="007329B0" w:rsidP="00CF2E7C">
            <w:pPr>
              <w:numPr>
                <w:ilvl w:val="0"/>
                <w:numId w:val="56"/>
              </w:numPr>
              <w:rPr>
                <w:rFonts w:ascii="Calibri" w:eastAsia="Calibri" w:hAnsi="Calibri" w:cs="Calibri"/>
                <w:color w:val="000000" w:themeColor="text1"/>
              </w:rPr>
            </w:pPr>
            <w:r w:rsidRPr="007329B0">
              <w:rPr>
                <w:rFonts w:ascii="Calibri" w:eastAsia="Calibri" w:hAnsi="Calibri" w:cs="Calibri"/>
                <w:color w:val="000000" w:themeColor="text1"/>
              </w:rPr>
              <w:lastRenderedPageBreak/>
              <w:t>Companies distributing gases other than natural gas must inspect 100% of their network over a rolling 4-year period.</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13E75602" w:rsidR="002F0752" w:rsidRPr="00CF2E7C" w:rsidRDefault="008317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3DD7C5E8" w:rsidR="002F0752" w:rsidRPr="00CF2E7C" w:rsidRDefault="00CC7EF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F026BD5" w14:textId="206D2CE0" w:rsidR="00E65138" w:rsidRPr="00E65138" w:rsidRDefault="00E65138" w:rsidP="00E65138">
            <w:pPr>
              <w:rPr>
                <w:rFonts w:ascii="Calibri" w:eastAsia="Calibri" w:hAnsi="Calibri" w:cs="Calibri"/>
                <w:color w:val="000000" w:themeColor="text1"/>
              </w:rPr>
            </w:pPr>
            <w:r w:rsidRPr="00F30852">
              <w:rPr>
                <w:rFonts w:ascii="Calibri" w:eastAsia="Calibri" w:hAnsi="Calibri" w:cs="Calibri"/>
                <w:color w:val="000000" w:themeColor="text1"/>
              </w:rPr>
              <w:t>The Resolution r</w:t>
            </w:r>
            <w:r w:rsidRPr="00E65138">
              <w:rPr>
                <w:rFonts w:ascii="Calibri" w:eastAsia="Calibri" w:hAnsi="Calibri" w:cs="Calibri"/>
                <w:color w:val="000000" w:themeColor="text1"/>
              </w:rPr>
              <w:t>equires </w:t>
            </w:r>
            <w:r w:rsidRPr="00F30852">
              <w:rPr>
                <w:rFonts w:ascii="Calibri" w:eastAsia="Calibri" w:hAnsi="Calibri" w:cs="Calibri"/>
                <w:color w:val="000000" w:themeColor="text1"/>
              </w:rPr>
              <w:t>different</w:t>
            </w:r>
            <w:r w:rsidRPr="00E65138">
              <w:rPr>
                <w:rFonts w:ascii="Calibri" w:eastAsia="Calibri" w:hAnsi="Calibri" w:cs="Calibri"/>
                <w:color w:val="000000" w:themeColor="text1"/>
              </w:rPr>
              <w:t xml:space="preserve"> time limit</w:t>
            </w:r>
            <w:r w:rsidRPr="00F30852">
              <w:rPr>
                <w:rFonts w:ascii="Calibri" w:eastAsia="Calibri" w:hAnsi="Calibri" w:cs="Calibri"/>
                <w:color w:val="000000" w:themeColor="text1"/>
              </w:rPr>
              <w:t>s</w:t>
            </w:r>
            <w:r w:rsidRPr="00E65138">
              <w:rPr>
                <w:rFonts w:ascii="Calibri" w:eastAsia="Calibri" w:hAnsi="Calibri" w:cs="Calibri"/>
                <w:color w:val="000000" w:themeColor="text1"/>
              </w:rPr>
              <w:t xml:space="preserve"> for repairs of gas leaks, based on their severity classification.</w:t>
            </w:r>
          </w:p>
          <w:p w14:paraId="76CDCAEA" w14:textId="77777777" w:rsidR="00F30852" w:rsidRPr="00F30852" w:rsidRDefault="00E65138" w:rsidP="00F30852">
            <w:pPr>
              <w:rPr>
                <w:rFonts w:ascii="Calibri" w:eastAsia="Calibri" w:hAnsi="Calibri" w:cs="Calibri"/>
                <w:color w:val="000000" w:themeColor="text1"/>
              </w:rPr>
            </w:pPr>
            <w:r w:rsidRPr="00E65138">
              <w:rPr>
                <w:rFonts w:ascii="Calibri" w:eastAsia="Calibri" w:hAnsi="Calibri" w:cs="Calibri"/>
                <w:color w:val="000000" w:themeColor="text1"/>
              </w:rPr>
              <w:t>Article 14.1(g) imposes a binding obligation on gas distribution companies to eliminate each localized gas leak within the timeframes established by applicable technical standards or, where absent, by relevant guidelines.</w:t>
            </w:r>
          </w:p>
          <w:p w14:paraId="7A4A3E52" w14:textId="1311BFAD" w:rsidR="00E65138" w:rsidRPr="00E65138" w:rsidRDefault="00F30852" w:rsidP="00F30852">
            <w:pPr>
              <w:rPr>
                <w:rFonts w:ascii="Calibri" w:eastAsia="Calibri" w:hAnsi="Calibri" w:cs="Calibri"/>
                <w:color w:val="000000" w:themeColor="text1"/>
              </w:rPr>
            </w:pPr>
            <w:r w:rsidRPr="00F30852">
              <w:rPr>
                <w:rFonts w:ascii="Calibri" w:eastAsia="Calibri" w:hAnsi="Calibri" w:cs="Calibri"/>
                <w:color w:val="000000" w:themeColor="text1"/>
              </w:rPr>
              <w:t xml:space="preserve">More specifically, </w:t>
            </w:r>
            <w:r w:rsidR="00E65138" w:rsidRPr="00E65138">
              <w:rPr>
                <w:rFonts w:ascii="Calibri" w:eastAsia="Calibri" w:hAnsi="Calibri" w:cs="Calibri"/>
                <w:color w:val="000000" w:themeColor="text1"/>
              </w:rPr>
              <w:t>Article 1 and Article 10 define the specific time limits for each class of leak:</w:t>
            </w:r>
          </w:p>
          <w:p w14:paraId="1A2BCFFD" w14:textId="77777777" w:rsidR="00F30852" w:rsidRPr="00F30852" w:rsidRDefault="00E65138" w:rsidP="00F30852">
            <w:pPr>
              <w:pStyle w:val="Paragrafoelenco"/>
              <w:numPr>
                <w:ilvl w:val="0"/>
                <w:numId w:val="49"/>
              </w:numPr>
              <w:rPr>
                <w:rFonts w:ascii="Calibri" w:eastAsia="Calibri" w:hAnsi="Calibri" w:cs="Calibri"/>
                <w:color w:val="000000" w:themeColor="text1"/>
              </w:rPr>
            </w:pPr>
            <w:r w:rsidRPr="00F30852">
              <w:rPr>
                <w:rFonts w:ascii="Calibri" w:eastAsia="Calibri" w:hAnsi="Calibri" w:cs="Calibri"/>
                <w:color w:val="000000" w:themeColor="text1"/>
              </w:rPr>
              <w:t>Class A1 (highest danger): must be eliminated within 24 hours of localization.</w:t>
            </w:r>
          </w:p>
          <w:p w14:paraId="249204DA" w14:textId="77777777" w:rsidR="00F30852" w:rsidRPr="00F30852" w:rsidRDefault="00E65138" w:rsidP="00F30852">
            <w:pPr>
              <w:pStyle w:val="Paragrafoelenco"/>
              <w:numPr>
                <w:ilvl w:val="0"/>
                <w:numId w:val="49"/>
              </w:numPr>
              <w:rPr>
                <w:rFonts w:ascii="Calibri" w:eastAsia="Calibri" w:hAnsi="Calibri" w:cs="Calibri"/>
                <w:color w:val="000000" w:themeColor="text1"/>
              </w:rPr>
            </w:pPr>
            <w:r w:rsidRPr="00F30852">
              <w:rPr>
                <w:rFonts w:ascii="Calibri" w:eastAsia="Calibri" w:hAnsi="Calibri" w:cs="Calibri"/>
                <w:color w:val="000000" w:themeColor="text1"/>
                <w:lang w:val="it-IT"/>
              </w:rPr>
              <w:t>Class A2: within 7 days.</w:t>
            </w:r>
          </w:p>
          <w:p w14:paraId="0C466469" w14:textId="77777777" w:rsidR="00F30852" w:rsidRPr="00F30852" w:rsidRDefault="00E65138" w:rsidP="00F30852">
            <w:pPr>
              <w:pStyle w:val="Paragrafoelenco"/>
              <w:numPr>
                <w:ilvl w:val="0"/>
                <w:numId w:val="49"/>
              </w:numPr>
              <w:rPr>
                <w:rFonts w:ascii="Calibri" w:eastAsia="Calibri" w:hAnsi="Calibri" w:cs="Calibri"/>
                <w:color w:val="000000" w:themeColor="text1"/>
              </w:rPr>
            </w:pPr>
            <w:r w:rsidRPr="00F30852">
              <w:rPr>
                <w:rFonts w:ascii="Calibri" w:eastAsia="Calibri" w:hAnsi="Calibri" w:cs="Calibri"/>
                <w:color w:val="000000" w:themeColor="text1"/>
                <w:lang w:val="it-IT"/>
              </w:rPr>
              <w:t>Class B: within 30 days.</w:t>
            </w:r>
          </w:p>
          <w:p w14:paraId="691938A6" w14:textId="69EB8B28" w:rsidR="00E65138" w:rsidRPr="00F30852" w:rsidRDefault="00E65138" w:rsidP="00F30852">
            <w:pPr>
              <w:pStyle w:val="Paragrafoelenco"/>
              <w:numPr>
                <w:ilvl w:val="0"/>
                <w:numId w:val="49"/>
              </w:numPr>
              <w:rPr>
                <w:rFonts w:ascii="Calibri" w:eastAsia="Calibri" w:hAnsi="Calibri" w:cs="Calibri"/>
                <w:color w:val="000000" w:themeColor="text1"/>
              </w:rPr>
            </w:pPr>
            <w:r w:rsidRPr="00F30852">
              <w:rPr>
                <w:rFonts w:ascii="Calibri" w:eastAsia="Calibri" w:hAnsi="Calibri" w:cs="Calibri"/>
                <w:color w:val="000000" w:themeColor="text1"/>
                <w:lang w:val="it-IT"/>
              </w:rPr>
              <w:t>Class C: within 180 days.</w:t>
            </w:r>
          </w:p>
          <w:p w14:paraId="60B73E37" w14:textId="39BD4A18" w:rsidR="002F0752" w:rsidRPr="00F30852" w:rsidRDefault="00E65138" w:rsidP="00CF2E7C">
            <w:pPr>
              <w:rPr>
                <w:rFonts w:ascii="Calibri" w:eastAsia="Calibri" w:hAnsi="Calibri" w:cs="Calibri"/>
                <w:color w:val="000000" w:themeColor="text1"/>
              </w:rPr>
            </w:pPr>
            <w:r w:rsidRPr="00E65138">
              <w:rPr>
                <w:rFonts w:ascii="Calibri" w:eastAsia="Calibri" w:hAnsi="Calibri" w:cs="Calibri"/>
                <w:color w:val="000000" w:themeColor="text1"/>
              </w:rPr>
              <w:lastRenderedPageBreak/>
              <w:t>These deadlines are not optional. The regulation also requires companies to report to the Authority the number of leaks eliminated within and beyond these timeframes</w:t>
            </w:r>
            <w:r w:rsidR="00F30852" w:rsidRPr="00F30852">
              <w:rPr>
                <w:rFonts w:ascii="Calibri" w:eastAsia="Calibri" w:hAnsi="Calibri" w:cs="Calibri"/>
                <w:color w:val="000000" w:themeColor="text1"/>
              </w:rPr>
              <w:t>.</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FCA19F8" w:rsidR="002F0752" w:rsidRPr="00CF2E7C" w:rsidRDefault="00913E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E91B966" w:rsidR="002F0752" w:rsidRPr="00CF2E7C" w:rsidRDefault="002C30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94E35F6" w:rsidR="002F0752" w:rsidRPr="00CF2E7C" w:rsidRDefault="00F64A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B9701B8" w:rsidR="002F0752" w:rsidRPr="00D31771" w:rsidRDefault="00D800DF"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2B29C93C" w:rsidR="002F0752" w:rsidRPr="00D31771" w:rsidRDefault="00D800DF"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D19D105" w:rsidR="002F0752" w:rsidRPr="00D31771" w:rsidRDefault="00D800DF"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9A048A7" w:rsidR="002F0752" w:rsidRPr="00D31771" w:rsidRDefault="00D31771"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251010F0" w:rsidR="002F0752" w:rsidRPr="00D31771" w:rsidRDefault="00D31771"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466964F" w:rsidR="002F0752" w:rsidRPr="00D31771" w:rsidRDefault="00D31771"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w:t>
            </w:r>
            <w:r w:rsidRPr="00CF2E7C">
              <w:rPr>
                <w:rFonts w:ascii="Calibri" w:eastAsia="Calibri" w:hAnsi="Calibri" w:cs="Calibri"/>
                <w:color w:val="000000" w:themeColor="text1"/>
              </w:rPr>
              <w:lastRenderedPageBreak/>
              <w:t xml:space="preserve">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EA14DB6" w:rsidR="002F0752" w:rsidRPr="00D31771" w:rsidRDefault="00D31771" w:rsidP="00CF2E7C">
            <w:pPr>
              <w:rPr>
                <w:rFonts w:ascii="Calibri" w:eastAsia="Calibri" w:hAnsi="Calibri" w:cs="Calibri"/>
                <w:color w:val="000000" w:themeColor="text1"/>
              </w:rPr>
            </w:pPr>
            <w:r w:rsidRPr="00D31771">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D2F0015" w:rsidR="002F0752" w:rsidRPr="00CF2E7C" w:rsidRDefault="00D31771"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3D88EDE"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5EDCBA5"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EAA2920"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0F85C3C"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2F738B2"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146E8C5" w:rsidR="002F0752" w:rsidRPr="00CF2E7C" w:rsidRDefault="006472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EDAF232" w:rsidR="002F0752" w:rsidRPr="00CF2E7C" w:rsidRDefault="004D2AE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A39AE93" w:rsidR="002F0752" w:rsidRPr="00CF2E7C" w:rsidRDefault="00E37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1EAEEEE" w:rsidR="002F0752" w:rsidRPr="00CF2E7C" w:rsidRDefault="00E37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CDCFCC7" w:rsidR="002F0752" w:rsidRPr="00CF2E7C" w:rsidRDefault="00E37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4DA0961" w:rsidR="002F0752" w:rsidRPr="00CF2E7C" w:rsidRDefault="00E37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BA692BA" w:rsidR="002F0752" w:rsidRPr="00CF2E7C" w:rsidRDefault="00E3715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lastRenderedPageBreak/>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660F54D"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0AF44AA"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EEA28B8"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828D12B" w:rsidR="002F0752" w:rsidRPr="00CF2E7C" w:rsidRDefault="00FF42E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0ED2C8B"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5D2CD1B"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3133AE9"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3C7B5AB"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F911D5D"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D206B21"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FBA8BA8"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28C8E7D"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5431ED0" w:rsidR="002F0752" w:rsidRPr="00CF2E7C" w:rsidRDefault="00FF42E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B01DD64"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1971846"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C8B1232"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4E45B6B2"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37E9CC9"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06C9F53D"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B51A7DC"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6A1586B" w:rsidR="002F0752" w:rsidRPr="00CF2E7C" w:rsidRDefault="00FF42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D3265D" w14:textId="244FD1F1" w:rsidR="00C75C8B" w:rsidRPr="00C75C8B" w:rsidRDefault="00C75C8B" w:rsidP="00FF42E8">
            <w:pPr>
              <w:rPr>
                <w:rFonts w:ascii="Calibri" w:hAnsi="Calibri" w:cs="Calibri"/>
                <w:b/>
                <w:bCs/>
              </w:rPr>
            </w:pPr>
            <w:r w:rsidRPr="00C75C8B">
              <w:rPr>
                <w:rFonts w:ascii="Calibri" w:hAnsi="Calibri" w:cs="Calibri"/>
                <w:b/>
                <w:bCs/>
              </w:rPr>
              <w:t>National/subnational standard</w:t>
            </w:r>
            <w:r>
              <w:rPr>
                <w:rFonts w:ascii="Calibri" w:hAnsi="Calibri" w:cs="Calibri"/>
                <w:b/>
                <w:bCs/>
              </w:rPr>
              <w:t>:</w:t>
            </w:r>
          </w:p>
          <w:p w14:paraId="278FACC2" w14:textId="7E17598B" w:rsidR="00FF42E8" w:rsidRPr="00FF42E8" w:rsidRDefault="00FF42E8" w:rsidP="00FF42E8">
            <w:pPr>
              <w:rPr>
                <w:rFonts w:ascii="Calibri" w:hAnsi="Calibri" w:cs="Calibri"/>
              </w:rPr>
            </w:pPr>
            <w:r w:rsidRPr="00FF42E8">
              <w:rPr>
                <w:rFonts w:ascii="Calibri" w:hAnsi="Calibri" w:cs="Calibri"/>
              </w:rPr>
              <w:t>The policy tool is explicitly built upon Italian national and industry-specific technical standards, which are mandatory for the regulated entities. The legal framework establishes a clear hierarchy for these standards.</w:t>
            </w:r>
          </w:p>
          <w:p w14:paraId="4DE34A45" w14:textId="38343CAE" w:rsidR="00FF42E8" w:rsidRPr="00FF42E8" w:rsidRDefault="00FF42E8" w:rsidP="00FF42E8">
            <w:pPr>
              <w:pStyle w:val="Paragrafoelenco"/>
              <w:numPr>
                <w:ilvl w:val="0"/>
                <w:numId w:val="53"/>
              </w:numPr>
              <w:rPr>
                <w:rFonts w:ascii="Calibri" w:hAnsi="Calibri" w:cs="Calibri"/>
              </w:rPr>
            </w:pPr>
            <w:r w:rsidRPr="00FF42E8">
              <w:rPr>
                <w:rFonts w:ascii="Calibri" w:hAnsi="Calibri" w:cs="Calibri"/>
                <w:b/>
                <w:bCs/>
              </w:rPr>
              <w:t>Italian National Standards (UNI and CEI):</w:t>
            </w:r>
            <w:r w:rsidRPr="00FF42E8">
              <w:rPr>
                <w:rFonts w:ascii="Calibri" w:hAnsi="Calibri" w:cs="Calibri"/>
              </w:rPr>
              <w:t> </w:t>
            </w:r>
            <w:r>
              <w:rPr>
                <w:rFonts w:ascii="Calibri" w:hAnsi="Calibri" w:cs="Calibri"/>
              </w:rPr>
              <w:t>t</w:t>
            </w:r>
            <w:r w:rsidRPr="00FF42E8">
              <w:rPr>
                <w:rFonts w:ascii="Calibri" w:hAnsi="Calibri" w:cs="Calibri"/>
              </w:rPr>
              <w:t>he Resolution makes a general and binding reference to the standards issued by the Italian National Standards Body (UNI - Ente Nazionale Italiano di Unificazione) and the Italian Electrotechnical Committee (CEI - Comitato Elettrotecnico Italiano). Article 35 of the regulatory text states that for the implementation of the safety and continuity provisions, "the current UNI and CEI technical standards, technical specifications or technical reports apply". This creates a general obligation of compliance with the entire body of relevant national standards.</w:t>
            </w:r>
          </w:p>
          <w:p w14:paraId="23A510F6" w14:textId="30AAE7B2" w:rsidR="00FF42E8" w:rsidRPr="00FF42E8" w:rsidRDefault="00FF42E8" w:rsidP="00FF42E8">
            <w:pPr>
              <w:numPr>
                <w:ilvl w:val="0"/>
                <w:numId w:val="53"/>
              </w:numPr>
              <w:rPr>
                <w:rFonts w:ascii="Calibri" w:hAnsi="Calibri" w:cs="Calibri"/>
              </w:rPr>
            </w:pPr>
            <w:r w:rsidRPr="00FF42E8">
              <w:rPr>
                <w:rFonts w:ascii="Calibri" w:hAnsi="Calibri" w:cs="Calibri"/>
                <w:b/>
                <w:bCs/>
              </w:rPr>
              <w:t>Specific UNI Standards Referenced:</w:t>
            </w:r>
            <w:r w:rsidRPr="00FF42E8">
              <w:rPr>
                <w:rFonts w:ascii="Calibri" w:hAnsi="Calibri" w:cs="Calibri"/>
              </w:rPr>
              <w:t> </w:t>
            </w:r>
            <w:r>
              <w:rPr>
                <w:rFonts w:ascii="Calibri" w:hAnsi="Calibri" w:cs="Calibri"/>
              </w:rPr>
              <w:t>t</w:t>
            </w:r>
            <w:r w:rsidRPr="00FF42E8">
              <w:rPr>
                <w:rFonts w:ascii="Calibri" w:hAnsi="Calibri" w:cs="Calibri"/>
              </w:rPr>
              <w:t>he preamble to the Resolution explicitly references a non-exhaustive list of specific UNI standards, technical specifications (UNI/TS), and technical reports (UNI/TR), demonstrating their centrality to the regulatory design. These include, </w:t>
            </w:r>
            <w:r w:rsidRPr="00FF42E8">
              <w:rPr>
                <w:rFonts w:ascii="Calibri" w:hAnsi="Calibri" w:cs="Calibri"/>
                <w:i/>
                <w:iCs/>
              </w:rPr>
              <w:t>inter alia</w:t>
            </w:r>
            <w:r w:rsidRPr="00FF42E8">
              <w:rPr>
                <w:rFonts w:ascii="Calibri" w:hAnsi="Calibri" w:cs="Calibri"/>
              </w:rPr>
              <w:t>:</w:t>
            </w:r>
          </w:p>
          <w:p w14:paraId="0E886352" w14:textId="09C23D25" w:rsidR="00FF42E8" w:rsidRPr="009C691C" w:rsidRDefault="00FF42E8" w:rsidP="00FF42E8">
            <w:pPr>
              <w:numPr>
                <w:ilvl w:val="1"/>
                <w:numId w:val="53"/>
              </w:numPr>
              <w:rPr>
                <w:rFonts w:ascii="Calibri" w:hAnsi="Calibri" w:cs="Calibri"/>
              </w:rPr>
            </w:pPr>
            <w:r w:rsidRPr="009C691C">
              <w:rPr>
                <w:rFonts w:ascii="Calibri" w:hAnsi="Calibri" w:cs="Calibri"/>
              </w:rPr>
              <w:t>UNI Standards: UNI CIG 7133, 8827, 9165, 9860, 11137, 11323, and others.</w:t>
            </w:r>
          </w:p>
          <w:p w14:paraId="2156EBE0" w14:textId="08944EAA" w:rsidR="00FF42E8" w:rsidRPr="009C691C" w:rsidRDefault="00FF42E8" w:rsidP="00FF42E8">
            <w:pPr>
              <w:numPr>
                <w:ilvl w:val="1"/>
                <w:numId w:val="53"/>
              </w:numPr>
              <w:rPr>
                <w:rFonts w:ascii="Calibri" w:hAnsi="Calibri" w:cs="Calibri"/>
              </w:rPr>
            </w:pPr>
            <w:r w:rsidRPr="009C691C">
              <w:rPr>
                <w:rFonts w:ascii="Calibri" w:hAnsi="Calibri" w:cs="Calibri"/>
              </w:rPr>
              <w:t>Technical Specifications and Reports: UNI/TS 11291, UNI/TR 11631, and others.</w:t>
            </w:r>
          </w:p>
          <w:p w14:paraId="1EA3B4DD" w14:textId="737A7EED" w:rsidR="00FF42E8" w:rsidRPr="00FF42E8" w:rsidRDefault="00FF42E8" w:rsidP="00FF42E8">
            <w:pPr>
              <w:numPr>
                <w:ilvl w:val="1"/>
                <w:numId w:val="53"/>
              </w:numPr>
              <w:rPr>
                <w:rFonts w:ascii="Calibri" w:hAnsi="Calibri" w:cs="Calibri"/>
              </w:rPr>
            </w:pPr>
            <w:r w:rsidRPr="009C691C">
              <w:rPr>
                <w:rFonts w:ascii="Calibri" w:hAnsi="Calibri" w:cs="Calibri"/>
              </w:rPr>
              <w:t>Specific standards are required for certain methodologies. For instance, UNI/TR 11631 is mandated for the placement of pressure monitoring points , and UNI 11323 is</w:t>
            </w:r>
            <w:r w:rsidRPr="00FF42E8">
              <w:rPr>
                <w:rFonts w:ascii="Calibri" w:hAnsi="Calibri" w:cs="Calibri"/>
              </w:rPr>
              <w:t xml:space="preserve"> required for verifying gas supply pressure.</w:t>
            </w:r>
          </w:p>
          <w:p w14:paraId="095E3684" w14:textId="5B46D39B" w:rsidR="00FF42E8" w:rsidRPr="00FF42E8" w:rsidRDefault="00FF42E8" w:rsidP="00FF42E8">
            <w:pPr>
              <w:numPr>
                <w:ilvl w:val="0"/>
                <w:numId w:val="53"/>
              </w:numPr>
              <w:rPr>
                <w:rFonts w:ascii="Calibri" w:hAnsi="Calibri" w:cs="Calibri"/>
              </w:rPr>
            </w:pPr>
            <w:r w:rsidRPr="00FF42E8">
              <w:rPr>
                <w:rFonts w:ascii="Calibri" w:hAnsi="Calibri" w:cs="Calibri"/>
                <w:b/>
                <w:bCs/>
              </w:rPr>
              <w:t>Italian Industry Body Guidelines (CIG and APCE):</w:t>
            </w:r>
            <w:r w:rsidRPr="00FF42E8">
              <w:rPr>
                <w:rFonts w:ascii="Calibri" w:hAnsi="Calibri" w:cs="Calibri"/>
              </w:rPr>
              <w:t> </w:t>
            </w:r>
            <w:r>
              <w:rPr>
                <w:rFonts w:ascii="Calibri" w:hAnsi="Calibri" w:cs="Calibri"/>
              </w:rPr>
              <w:t>w</w:t>
            </w:r>
            <w:r w:rsidRPr="00FF42E8">
              <w:rPr>
                <w:rFonts w:ascii="Calibri" w:hAnsi="Calibri" w:cs="Calibri"/>
              </w:rPr>
              <w:t>here national standards are lacking, the Resolution elevates industry guidelines to a mandatory status. Article 35.2 stipulates that in the absence of applicable technical standards, "guidelines defined by the competent technical bodies UNI/CIG and APCE are adopted". The Resolution's preamble also explicitly references guidelines from the Italian Gas Committee (CIG - Comitato Italiano Gas) and the Association for Protection from Electrolytic Corrosion (APCE - Associazione per la Protezione dalle Corrosioni Elettrolitiche) as foundational documents. These guidelines cover critical operational areas, including leak detection, emergency response, and cathodic protection of pipelines.</w:t>
            </w:r>
          </w:p>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9D9FFA" w14:textId="77777777" w:rsidR="00AC54ED" w:rsidRDefault="00AC54ED" w:rsidP="00874E39">
      <w:r>
        <w:separator/>
      </w:r>
    </w:p>
  </w:endnote>
  <w:endnote w:type="continuationSeparator" w:id="0">
    <w:p w14:paraId="2F705CC4" w14:textId="77777777" w:rsidR="00AC54ED" w:rsidRDefault="00AC54ED" w:rsidP="00874E39">
      <w:r>
        <w:continuationSeparator/>
      </w:r>
    </w:p>
  </w:endnote>
  <w:endnote w:type="continuationNotice" w:id="1">
    <w:p w14:paraId="151C2761" w14:textId="77777777" w:rsidR="00AC54ED" w:rsidRDefault="00AC54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87D9B7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2FF5E8" w14:textId="77777777" w:rsidR="00AC54ED" w:rsidRDefault="00AC54ED" w:rsidP="00874E39">
      <w:r>
        <w:separator/>
      </w:r>
    </w:p>
  </w:footnote>
  <w:footnote w:type="continuationSeparator" w:id="0">
    <w:p w14:paraId="11D32004" w14:textId="77777777" w:rsidR="00AC54ED" w:rsidRDefault="00AC54ED" w:rsidP="00874E39">
      <w:r>
        <w:continuationSeparator/>
      </w:r>
    </w:p>
  </w:footnote>
  <w:footnote w:type="continuationNotice" w:id="1">
    <w:p w14:paraId="25E7D5AD" w14:textId="77777777" w:rsidR="00AC54ED" w:rsidRDefault="00AC54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3CE6708"/>
    <w:multiLevelType w:val="multilevel"/>
    <w:tmpl w:val="CE2AB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9B97AA2"/>
    <w:multiLevelType w:val="multilevel"/>
    <w:tmpl w:val="98461F8C"/>
    <w:lvl w:ilvl="0">
      <w:start w:val="1"/>
      <w:numFmt w:val="decimal"/>
      <w:lvlText w:val="%1."/>
      <w:lvlJc w:val="left"/>
      <w:pPr>
        <w:tabs>
          <w:tab w:val="num" w:pos="720"/>
        </w:tabs>
        <w:ind w:left="720" w:hanging="360"/>
      </w:pPr>
      <w:rPr>
        <w:rFonts w:ascii="Calibri" w:eastAsiaTheme="minorHAnsi" w:hAnsi="Calibri" w:cs="Calibri"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E662280"/>
    <w:multiLevelType w:val="hybridMultilevel"/>
    <w:tmpl w:val="785A8516"/>
    <w:lvl w:ilvl="0" w:tplc="F1AAAE40">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6A073D"/>
    <w:multiLevelType w:val="multilevel"/>
    <w:tmpl w:val="D7AC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05CD8"/>
    <w:multiLevelType w:val="multilevel"/>
    <w:tmpl w:val="32E876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1136CDF"/>
    <w:multiLevelType w:val="multilevel"/>
    <w:tmpl w:val="D02806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52A22FD"/>
    <w:multiLevelType w:val="multilevel"/>
    <w:tmpl w:val="98461F8C"/>
    <w:lvl w:ilvl="0">
      <w:start w:val="1"/>
      <w:numFmt w:val="decimal"/>
      <w:lvlText w:val="%1."/>
      <w:lvlJc w:val="left"/>
      <w:pPr>
        <w:tabs>
          <w:tab w:val="num" w:pos="720"/>
        </w:tabs>
        <w:ind w:left="720" w:hanging="360"/>
      </w:pPr>
      <w:rPr>
        <w:rFonts w:ascii="Calibri" w:eastAsiaTheme="minorHAnsi" w:hAnsi="Calibri" w:cs="Calibri"/>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D340950"/>
    <w:multiLevelType w:val="multilevel"/>
    <w:tmpl w:val="FB1C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7D823AAC"/>
    <w:multiLevelType w:val="multilevel"/>
    <w:tmpl w:val="14F44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6"/>
  </w:num>
  <w:num w:numId="3" w16cid:durableId="690952733">
    <w:abstractNumId w:val="47"/>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8"/>
  </w:num>
  <w:num w:numId="9" w16cid:durableId="1685783054">
    <w:abstractNumId w:val="3"/>
  </w:num>
  <w:num w:numId="10" w16cid:durableId="950551298">
    <w:abstractNumId w:val="34"/>
  </w:num>
  <w:num w:numId="11" w16cid:durableId="1591960799">
    <w:abstractNumId w:val="54"/>
  </w:num>
  <w:num w:numId="12" w16cid:durableId="1344891410">
    <w:abstractNumId w:val="11"/>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8"/>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4"/>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4"/>
  </w:num>
  <w:num w:numId="34" w16cid:durableId="1092120443">
    <w:abstractNumId w:val="43"/>
  </w:num>
  <w:num w:numId="35" w16cid:durableId="124861188">
    <w:abstractNumId w:val="12"/>
  </w:num>
  <w:num w:numId="36" w16cid:durableId="1952588250">
    <w:abstractNumId w:val="42"/>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3"/>
  </w:num>
  <w:num w:numId="47" w16cid:durableId="342588554">
    <w:abstractNumId w:val="28"/>
  </w:num>
  <w:num w:numId="48" w16cid:durableId="318391343">
    <w:abstractNumId w:val="40"/>
  </w:num>
  <w:num w:numId="49" w16cid:durableId="586616481">
    <w:abstractNumId w:val="24"/>
  </w:num>
  <w:num w:numId="50" w16cid:durableId="167449032">
    <w:abstractNumId w:val="55"/>
  </w:num>
  <w:num w:numId="51" w16cid:durableId="956837630">
    <w:abstractNumId w:val="56"/>
  </w:num>
  <w:num w:numId="52" w16cid:durableId="1670403865">
    <w:abstractNumId w:val="46"/>
  </w:num>
  <w:num w:numId="53" w16cid:durableId="2143158965">
    <w:abstractNumId w:val="52"/>
  </w:num>
  <w:num w:numId="54" w16cid:durableId="1258253546">
    <w:abstractNumId w:val="10"/>
  </w:num>
  <w:num w:numId="55" w16cid:durableId="1364667034">
    <w:abstractNumId w:val="35"/>
  </w:num>
  <w:num w:numId="56" w16cid:durableId="1737436523">
    <w:abstractNumId w:val="8"/>
  </w:num>
  <w:num w:numId="57" w16cid:durableId="1666976962">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517D"/>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158"/>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5A"/>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89D"/>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300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25E"/>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846"/>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AF9"/>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490F"/>
    <w:rsid w:val="004B666D"/>
    <w:rsid w:val="004B739E"/>
    <w:rsid w:val="004B77AB"/>
    <w:rsid w:val="004C006D"/>
    <w:rsid w:val="004C20B7"/>
    <w:rsid w:val="004C3866"/>
    <w:rsid w:val="004C3A52"/>
    <w:rsid w:val="004C6739"/>
    <w:rsid w:val="004C6D9F"/>
    <w:rsid w:val="004C70AC"/>
    <w:rsid w:val="004D2730"/>
    <w:rsid w:val="004D2AEE"/>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149"/>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09C5"/>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0F2E"/>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6B6"/>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276"/>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1FA6"/>
    <w:rsid w:val="00683A9D"/>
    <w:rsid w:val="00683DB5"/>
    <w:rsid w:val="00685A4F"/>
    <w:rsid w:val="006878AC"/>
    <w:rsid w:val="00690B2A"/>
    <w:rsid w:val="00692572"/>
    <w:rsid w:val="006936EF"/>
    <w:rsid w:val="006943E9"/>
    <w:rsid w:val="00695F64"/>
    <w:rsid w:val="00696548"/>
    <w:rsid w:val="006965B3"/>
    <w:rsid w:val="00696D68"/>
    <w:rsid w:val="006A00E0"/>
    <w:rsid w:val="006A103A"/>
    <w:rsid w:val="006A2168"/>
    <w:rsid w:val="006A21C6"/>
    <w:rsid w:val="006A308E"/>
    <w:rsid w:val="006A3518"/>
    <w:rsid w:val="006A4C24"/>
    <w:rsid w:val="006A4C9F"/>
    <w:rsid w:val="006A63B5"/>
    <w:rsid w:val="006A64DC"/>
    <w:rsid w:val="006B07E5"/>
    <w:rsid w:val="006B0C0B"/>
    <w:rsid w:val="006B15ED"/>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7DB"/>
    <w:rsid w:val="007245FC"/>
    <w:rsid w:val="007250B7"/>
    <w:rsid w:val="007274CB"/>
    <w:rsid w:val="0072785A"/>
    <w:rsid w:val="00730E27"/>
    <w:rsid w:val="007312A3"/>
    <w:rsid w:val="007329B0"/>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3D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790"/>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635"/>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E75"/>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C691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30"/>
    <w:rsid w:val="00A20CCF"/>
    <w:rsid w:val="00A21BB6"/>
    <w:rsid w:val="00A222D1"/>
    <w:rsid w:val="00A22938"/>
    <w:rsid w:val="00A22A89"/>
    <w:rsid w:val="00A234E2"/>
    <w:rsid w:val="00A23924"/>
    <w:rsid w:val="00A242D8"/>
    <w:rsid w:val="00A24FC1"/>
    <w:rsid w:val="00A25205"/>
    <w:rsid w:val="00A25C17"/>
    <w:rsid w:val="00A26AA0"/>
    <w:rsid w:val="00A301E4"/>
    <w:rsid w:val="00A307F8"/>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13E"/>
    <w:rsid w:val="00A56BE5"/>
    <w:rsid w:val="00A56DE0"/>
    <w:rsid w:val="00A57E93"/>
    <w:rsid w:val="00A605FA"/>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6E73"/>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4E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4F3B"/>
    <w:rsid w:val="00AF56A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75A"/>
    <w:rsid w:val="00B16155"/>
    <w:rsid w:val="00B171FD"/>
    <w:rsid w:val="00B17588"/>
    <w:rsid w:val="00B17FBC"/>
    <w:rsid w:val="00B200F9"/>
    <w:rsid w:val="00B20D58"/>
    <w:rsid w:val="00B2104D"/>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AA6"/>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F3B"/>
    <w:rsid w:val="00C6D1CB"/>
    <w:rsid w:val="00C700B7"/>
    <w:rsid w:val="00C70434"/>
    <w:rsid w:val="00C71045"/>
    <w:rsid w:val="00C711D3"/>
    <w:rsid w:val="00C72EC1"/>
    <w:rsid w:val="00C72FA9"/>
    <w:rsid w:val="00C73FAD"/>
    <w:rsid w:val="00C74636"/>
    <w:rsid w:val="00C74D69"/>
    <w:rsid w:val="00C75536"/>
    <w:rsid w:val="00C758F8"/>
    <w:rsid w:val="00C75C8B"/>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C7EFB"/>
    <w:rsid w:val="00CD0735"/>
    <w:rsid w:val="00CD3D23"/>
    <w:rsid w:val="00CD42E0"/>
    <w:rsid w:val="00CD5322"/>
    <w:rsid w:val="00CD5934"/>
    <w:rsid w:val="00CD5F3D"/>
    <w:rsid w:val="00CD61C8"/>
    <w:rsid w:val="00CD6B26"/>
    <w:rsid w:val="00CD6DAC"/>
    <w:rsid w:val="00CD7E31"/>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989"/>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771"/>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0DF"/>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7ED"/>
    <w:rsid w:val="00DA63F5"/>
    <w:rsid w:val="00DA6F09"/>
    <w:rsid w:val="00DA7A9F"/>
    <w:rsid w:val="00DB02EB"/>
    <w:rsid w:val="00DB1960"/>
    <w:rsid w:val="00DB1E72"/>
    <w:rsid w:val="00DB2C4B"/>
    <w:rsid w:val="00DB2CAA"/>
    <w:rsid w:val="00DB4C6F"/>
    <w:rsid w:val="00DB61E7"/>
    <w:rsid w:val="00DB6C3C"/>
    <w:rsid w:val="00DB7472"/>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00C"/>
    <w:rsid w:val="00DD6254"/>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34F"/>
    <w:rsid w:val="00E25EAF"/>
    <w:rsid w:val="00E26760"/>
    <w:rsid w:val="00E321EB"/>
    <w:rsid w:val="00E32892"/>
    <w:rsid w:val="00E330BA"/>
    <w:rsid w:val="00E34DED"/>
    <w:rsid w:val="00E36D6E"/>
    <w:rsid w:val="00E37151"/>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138"/>
    <w:rsid w:val="00E65D70"/>
    <w:rsid w:val="00E6706E"/>
    <w:rsid w:val="00E67095"/>
    <w:rsid w:val="00E67A04"/>
    <w:rsid w:val="00E70A6A"/>
    <w:rsid w:val="00E71E33"/>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04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7D5"/>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52"/>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A6E"/>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9F8"/>
    <w:rsid w:val="00F8493A"/>
    <w:rsid w:val="00F86AAC"/>
    <w:rsid w:val="00F86D14"/>
    <w:rsid w:val="00F87716"/>
    <w:rsid w:val="00F87E26"/>
    <w:rsid w:val="00F87F52"/>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E8"/>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24462629">
      <w:bodyDiv w:val="1"/>
      <w:marLeft w:val="0"/>
      <w:marRight w:val="0"/>
      <w:marTop w:val="0"/>
      <w:marBottom w:val="0"/>
      <w:divBdr>
        <w:top w:val="none" w:sz="0" w:space="0" w:color="auto"/>
        <w:left w:val="none" w:sz="0" w:space="0" w:color="auto"/>
        <w:bottom w:val="none" w:sz="0" w:space="0" w:color="auto"/>
        <w:right w:val="none" w:sz="0" w:space="0" w:color="auto"/>
      </w:divBdr>
    </w:div>
    <w:div w:id="290478551">
      <w:bodyDiv w:val="1"/>
      <w:marLeft w:val="0"/>
      <w:marRight w:val="0"/>
      <w:marTop w:val="0"/>
      <w:marBottom w:val="0"/>
      <w:divBdr>
        <w:top w:val="none" w:sz="0" w:space="0" w:color="auto"/>
        <w:left w:val="none" w:sz="0" w:space="0" w:color="auto"/>
        <w:bottom w:val="none" w:sz="0" w:space="0" w:color="auto"/>
        <w:right w:val="none" w:sz="0" w:space="0" w:color="auto"/>
      </w:divBdr>
    </w:div>
    <w:div w:id="450902137">
      <w:bodyDiv w:val="1"/>
      <w:marLeft w:val="0"/>
      <w:marRight w:val="0"/>
      <w:marTop w:val="0"/>
      <w:marBottom w:val="0"/>
      <w:divBdr>
        <w:top w:val="none" w:sz="0" w:space="0" w:color="auto"/>
        <w:left w:val="none" w:sz="0" w:space="0" w:color="auto"/>
        <w:bottom w:val="none" w:sz="0" w:space="0" w:color="auto"/>
        <w:right w:val="none" w:sz="0" w:space="0" w:color="auto"/>
      </w:divBdr>
    </w:div>
    <w:div w:id="491918038">
      <w:bodyDiv w:val="1"/>
      <w:marLeft w:val="0"/>
      <w:marRight w:val="0"/>
      <w:marTop w:val="0"/>
      <w:marBottom w:val="0"/>
      <w:divBdr>
        <w:top w:val="none" w:sz="0" w:space="0" w:color="auto"/>
        <w:left w:val="none" w:sz="0" w:space="0" w:color="auto"/>
        <w:bottom w:val="none" w:sz="0" w:space="0" w:color="auto"/>
        <w:right w:val="none" w:sz="0" w:space="0" w:color="auto"/>
      </w:divBdr>
    </w:div>
    <w:div w:id="510530474">
      <w:bodyDiv w:val="1"/>
      <w:marLeft w:val="0"/>
      <w:marRight w:val="0"/>
      <w:marTop w:val="0"/>
      <w:marBottom w:val="0"/>
      <w:divBdr>
        <w:top w:val="none" w:sz="0" w:space="0" w:color="auto"/>
        <w:left w:val="none" w:sz="0" w:space="0" w:color="auto"/>
        <w:bottom w:val="none" w:sz="0" w:space="0" w:color="auto"/>
        <w:right w:val="none" w:sz="0" w:space="0" w:color="auto"/>
      </w:divBdr>
    </w:div>
    <w:div w:id="535627124">
      <w:bodyDiv w:val="1"/>
      <w:marLeft w:val="0"/>
      <w:marRight w:val="0"/>
      <w:marTop w:val="0"/>
      <w:marBottom w:val="0"/>
      <w:divBdr>
        <w:top w:val="none" w:sz="0" w:space="0" w:color="auto"/>
        <w:left w:val="none" w:sz="0" w:space="0" w:color="auto"/>
        <w:bottom w:val="none" w:sz="0" w:space="0" w:color="auto"/>
        <w:right w:val="none" w:sz="0" w:space="0" w:color="auto"/>
      </w:divBdr>
    </w:div>
    <w:div w:id="55438976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176663">
      <w:bodyDiv w:val="1"/>
      <w:marLeft w:val="0"/>
      <w:marRight w:val="0"/>
      <w:marTop w:val="0"/>
      <w:marBottom w:val="0"/>
      <w:divBdr>
        <w:top w:val="none" w:sz="0" w:space="0" w:color="auto"/>
        <w:left w:val="none" w:sz="0" w:space="0" w:color="auto"/>
        <w:bottom w:val="none" w:sz="0" w:space="0" w:color="auto"/>
        <w:right w:val="none" w:sz="0" w:space="0" w:color="auto"/>
      </w:divBdr>
    </w:div>
    <w:div w:id="58550587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259689">
      <w:bodyDiv w:val="1"/>
      <w:marLeft w:val="0"/>
      <w:marRight w:val="0"/>
      <w:marTop w:val="0"/>
      <w:marBottom w:val="0"/>
      <w:divBdr>
        <w:top w:val="none" w:sz="0" w:space="0" w:color="auto"/>
        <w:left w:val="none" w:sz="0" w:space="0" w:color="auto"/>
        <w:bottom w:val="none" w:sz="0" w:space="0" w:color="auto"/>
        <w:right w:val="none" w:sz="0" w:space="0" w:color="auto"/>
      </w:divBdr>
    </w:div>
    <w:div w:id="873619874">
      <w:bodyDiv w:val="1"/>
      <w:marLeft w:val="0"/>
      <w:marRight w:val="0"/>
      <w:marTop w:val="0"/>
      <w:marBottom w:val="0"/>
      <w:divBdr>
        <w:top w:val="none" w:sz="0" w:space="0" w:color="auto"/>
        <w:left w:val="none" w:sz="0" w:space="0" w:color="auto"/>
        <w:bottom w:val="none" w:sz="0" w:space="0" w:color="auto"/>
        <w:right w:val="none" w:sz="0" w:space="0" w:color="auto"/>
      </w:divBdr>
    </w:div>
    <w:div w:id="1016153802">
      <w:bodyDiv w:val="1"/>
      <w:marLeft w:val="0"/>
      <w:marRight w:val="0"/>
      <w:marTop w:val="0"/>
      <w:marBottom w:val="0"/>
      <w:divBdr>
        <w:top w:val="none" w:sz="0" w:space="0" w:color="auto"/>
        <w:left w:val="none" w:sz="0" w:space="0" w:color="auto"/>
        <w:bottom w:val="none" w:sz="0" w:space="0" w:color="auto"/>
        <w:right w:val="none" w:sz="0" w:space="0" w:color="auto"/>
      </w:divBdr>
    </w:div>
    <w:div w:id="119827479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287075">
      <w:bodyDiv w:val="1"/>
      <w:marLeft w:val="0"/>
      <w:marRight w:val="0"/>
      <w:marTop w:val="0"/>
      <w:marBottom w:val="0"/>
      <w:divBdr>
        <w:top w:val="none" w:sz="0" w:space="0" w:color="auto"/>
        <w:left w:val="none" w:sz="0" w:space="0" w:color="auto"/>
        <w:bottom w:val="none" w:sz="0" w:space="0" w:color="auto"/>
        <w:right w:val="none" w:sz="0" w:space="0" w:color="auto"/>
      </w:divBdr>
    </w:div>
    <w:div w:id="1613322690">
      <w:bodyDiv w:val="1"/>
      <w:marLeft w:val="0"/>
      <w:marRight w:val="0"/>
      <w:marTop w:val="0"/>
      <w:marBottom w:val="0"/>
      <w:divBdr>
        <w:top w:val="none" w:sz="0" w:space="0" w:color="auto"/>
        <w:left w:val="none" w:sz="0" w:space="0" w:color="auto"/>
        <w:bottom w:val="none" w:sz="0" w:space="0" w:color="auto"/>
        <w:right w:val="none" w:sz="0" w:space="0" w:color="auto"/>
      </w:divBdr>
    </w:div>
    <w:div w:id="1661419152">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3494487">
      <w:bodyDiv w:val="1"/>
      <w:marLeft w:val="0"/>
      <w:marRight w:val="0"/>
      <w:marTop w:val="0"/>
      <w:marBottom w:val="0"/>
      <w:divBdr>
        <w:top w:val="none" w:sz="0" w:space="0" w:color="auto"/>
        <w:left w:val="none" w:sz="0" w:space="0" w:color="auto"/>
        <w:bottom w:val="none" w:sz="0" w:space="0" w:color="auto"/>
        <w:right w:val="none" w:sz="0" w:space="0" w:color="auto"/>
      </w:divBdr>
    </w:div>
    <w:div w:id="190613829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116</Pages>
  <Words>24073</Words>
  <Characters>137222</Characters>
  <DocSecurity>0</DocSecurity>
  <Lines>1143</Lines>
  <Paragraphs>321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160974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2025-07-07T20:52:00Z</dcterms:created>
  <dcterms:modified xsi:type="dcterms:W3CDTF">2025-07-07T20:52:00Z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